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B0F" w:rsidRPr="00ED1B0F" w:rsidRDefault="00ED1B0F" w:rsidP="00ED1B0F">
      <w:pPr>
        <w:rPr>
          <w:rFonts w:eastAsiaTheme="majorEastAsia" w:cstheme="majorBidi"/>
          <w:b/>
          <w:sz w:val="40"/>
          <w:szCs w:val="32"/>
        </w:rPr>
      </w:pPr>
      <w:r>
        <w:rPr>
          <w:rFonts w:eastAsiaTheme="majorEastAsia" w:cstheme="majorBidi"/>
          <w:b/>
          <w:sz w:val="40"/>
        </w:rPr>
        <w:t>Plantas de britagem e peneiramento Kleemann:</w:t>
      </w:r>
      <w:r w:rsidR="005018C2">
        <w:rPr>
          <w:rFonts w:eastAsiaTheme="majorEastAsia" w:cstheme="majorBidi"/>
          <w:b/>
          <w:sz w:val="40"/>
        </w:rPr>
        <w:t xml:space="preserve"> </w:t>
      </w:r>
      <w:r>
        <w:rPr>
          <w:rFonts w:eastAsiaTheme="majorEastAsia" w:cstheme="majorBidi"/>
          <w:b/>
          <w:sz w:val="40"/>
        </w:rPr>
        <w:t xml:space="preserve">Inovações para uma operação fácil e segura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Com as demandas crescentes em relação às plantas de britagem modernas, a sua complexidade também está aumentando. Simultaneamente, a tecnologia deve ser segura e a sua operação deve ser a mais simples possível – e sem instruções longas. Esse é exatamente o desafio que a Kleemann enfrenta e estará apresentando soluções inovadoras para a operação segura e simples das plantas de britagem e peneiramento na Bauma 2019. </w:t>
      </w:r>
    </w:p>
    <w:p w:rsidR="00A344B2" w:rsidRDefault="00A344B2" w:rsidP="008035E8">
      <w:pPr>
        <w:pStyle w:val="Text"/>
      </w:pPr>
    </w:p>
    <w:p w:rsidR="00ED1B0F" w:rsidRDefault="00ED1B0F" w:rsidP="00ED1B0F">
      <w:pPr>
        <w:rPr>
          <w:b/>
          <w:sz w:val="22"/>
          <w:szCs w:val="22"/>
        </w:rPr>
      </w:pPr>
      <w:r>
        <w:rPr>
          <w:b/>
          <w:sz w:val="22"/>
        </w:rPr>
        <w:t xml:space="preserve">Operação simples e confortável </w:t>
      </w:r>
    </w:p>
    <w:p w:rsidR="00ED1B0F" w:rsidRPr="00ED1B0F" w:rsidRDefault="00ED1B0F" w:rsidP="00ED1B0F">
      <w:pPr>
        <w:rPr>
          <w:b/>
          <w:sz w:val="22"/>
          <w:szCs w:val="22"/>
        </w:rPr>
      </w:pPr>
    </w:p>
    <w:p w:rsidR="00ED1B0F" w:rsidRDefault="00ED1B0F" w:rsidP="00ED1B0F">
      <w:pPr>
        <w:rPr>
          <w:sz w:val="22"/>
          <w:szCs w:val="22"/>
        </w:rPr>
      </w:pPr>
      <w:r>
        <w:rPr>
          <w:sz w:val="22"/>
        </w:rPr>
        <w:t xml:space="preserve">A interface entre o homem e a máquina é o comando. Toda a linha PRO e o britador de impacto MR 130 Z EVO2 podem ser operados de modo confortável usando o conceito de comando intuitivo SPECTIVE.  O painel tátil de 12 polegadas simplifica o trabalho, uma vez que todas as funções podem ser visualizadas de uma só vez e símbolos claros indicam o caminho a ser seguido. A interface do usuário é imune à poeira, é à prova de respingos de água e pode ser lida sem maiores problemas em condições de iluminação pouco favoráveis. Uma navegação simples no menu garante que apenas o necessário naquele exato momento seja exibido em cada tela. Esse conceito torna possível, da maneira mais simples, usar a planta de britagem de modo correto e, assim, explorar plenamente suas funções. </w:t>
      </w:r>
    </w:p>
    <w:p w:rsidR="00F376D5" w:rsidRDefault="00F376D5" w:rsidP="00ED1B0F">
      <w:pPr>
        <w:rPr>
          <w:sz w:val="22"/>
          <w:szCs w:val="22"/>
        </w:rPr>
      </w:pPr>
    </w:p>
    <w:p w:rsidR="00F376D5" w:rsidRPr="00F376D5" w:rsidRDefault="00F376D5" w:rsidP="00ED1B0F">
      <w:pPr>
        <w:rPr>
          <w:b/>
          <w:sz w:val="22"/>
          <w:szCs w:val="22"/>
        </w:rPr>
      </w:pPr>
      <w:r>
        <w:rPr>
          <w:b/>
          <w:sz w:val="22"/>
        </w:rPr>
        <w:t>Trabalho com nível reduzido de ruído próximo à máquina</w:t>
      </w:r>
    </w:p>
    <w:p w:rsidR="00ED1B0F" w:rsidRPr="00ED1B0F" w:rsidRDefault="00ED1B0F" w:rsidP="00ED1B0F">
      <w:pPr>
        <w:rPr>
          <w:sz w:val="22"/>
          <w:szCs w:val="22"/>
        </w:rPr>
      </w:pPr>
    </w:p>
    <w:p w:rsidR="00ED1B0F" w:rsidRPr="00ED1B0F" w:rsidRDefault="00ED1B0F" w:rsidP="00ED1B0F">
      <w:pPr>
        <w:rPr>
          <w:sz w:val="22"/>
          <w:szCs w:val="22"/>
        </w:rPr>
      </w:pPr>
      <w:r>
        <w:rPr>
          <w:sz w:val="22"/>
        </w:rPr>
        <w:t>O novo pacote opcional para a redução do nível de ruído garante o trabalho confortável e seguro próximo ao britador de impacto. Lateralmente, na altura do motor, estão instaladas tampas de proteção acústica que desviam o som para cima. Estas são rebatidas para o transporte e, portanto, não exercem influência nenhuma sobre a largura de transporte. Além disso, o assoalho do agregado é isolado contra ruídos. Isso faz com que o volume do som percebido pelo usuário seja reduzido em seis decibéis. Uma redução de três decibéis já é percebida como uma diminuição pela metade da sensação de ruído por parte do ouvido humano. Isso permite um trabalho com redução do nível de ruído em um raio muito menor em torno da máquina.</w:t>
      </w:r>
    </w:p>
    <w:p w:rsidR="000A576B" w:rsidRPr="000A576B" w:rsidRDefault="000A576B" w:rsidP="000A576B">
      <w:pPr>
        <w:rPr>
          <w:sz w:val="22"/>
          <w:szCs w:val="22"/>
        </w:rPr>
      </w:pPr>
    </w:p>
    <w:p w:rsidR="00ED1B0F" w:rsidRDefault="000853E3" w:rsidP="00ED1B0F">
      <w:pPr>
        <w:rPr>
          <w:b/>
        </w:rPr>
      </w:pPr>
      <w:r>
        <w:rPr>
          <w:b/>
          <w:sz w:val="22"/>
        </w:rPr>
        <w:t>Acessibilidade excelente e segurança durante a manutenção</w:t>
      </w:r>
      <w:r>
        <w:t xml:space="preserve"> </w:t>
      </w:r>
    </w:p>
    <w:p w:rsidR="00ED1B0F" w:rsidRPr="00C61EAB" w:rsidRDefault="00ED1B0F" w:rsidP="00ED1B0F">
      <w:pPr>
        <w:rPr>
          <w:b/>
        </w:rPr>
      </w:pPr>
    </w:p>
    <w:p w:rsidR="00ED1B0F" w:rsidRDefault="00ED1B0F" w:rsidP="00ED1B0F">
      <w:pPr>
        <w:rPr>
          <w:sz w:val="22"/>
          <w:szCs w:val="22"/>
        </w:rPr>
      </w:pPr>
      <w:r>
        <w:rPr>
          <w:sz w:val="22"/>
        </w:rPr>
        <w:t xml:space="preserve">O design das máquinas, concebido cuidadosamente, permite bom acesso a partir de todos os lados. Concebidos ao longo do fluxo de material, todos os componentes do sistema são de fácil acesso para o usuário. Assim, por exemplo, é possível reabastecer o britador cônico MCO 11 PRO de modo confortável a partir do solo e a substituição das guarnições pré-peneira nos britadores de impacto MR 110 e 130 Z EVO2 pode ser realizada de modo simples por meio de uma plataforma adicional. Outros trabalhos de manutenção na máquina também podem ser realizados de maneira rápida e confortável graças à boa acessibilidade.  </w:t>
      </w:r>
    </w:p>
    <w:p w:rsidR="00055F85" w:rsidRDefault="00055F85" w:rsidP="00ED1B0F">
      <w:pPr>
        <w:rPr>
          <w:sz w:val="22"/>
          <w:szCs w:val="22"/>
        </w:rPr>
      </w:pPr>
    </w:p>
    <w:p w:rsidR="00ED1B0F" w:rsidRPr="00ED1B0F" w:rsidRDefault="007700EB" w:rsidP="00ED1B0F">
      <w:pPr>
        <w:rPr>
          <w:sz w:val="22"/>
          <w:szCs w:val="22"/>
        </w:rPr>
      </w:pPr>
      <w:r>
        <w:rPr>
          <w:sz w:val="22"/>
        </w:rPr>
        <w:lastRenderedPageBreak/>
        <w:t xml:space="preserve"> </w:t>
      </w:r>
    </w:p>
    <w:p w:rsidR="00ED1B0F" w:rsidRPr="00ED1B0F" w:rsidRDefault="00ED1B0F" w:rsidP="00ED1B0F">
      <w:pPr>
        <w:rPr>
          <w:sz w:val="22"/>
          <w:szCs w:val="22"/>
        </w:rPr>
      </w:pPr>
      <w:r>
        <w:rPr>
          <w:sz w:val="22"/>
        </w:rPr>
        <w:t xml:space="preserve">O sistema premiado "Lock &amp; Turn" garante segurança máxima durante a substituição das barras de impacto em britadores de impacto móveis ou ao soltar pontes. São usadas chaves especiais, que permitem trabalhar somente em áreas definidas do britador. Nessas áreas, o operador pode abrir tampas para manutenção ou mover/substituir os componentes. Se o usuário desejar trabalhar em outro local, as chaves precisam ser removidas, o que faz com que a área em que os trabalhos estavam sendo realizados anteriormente sejam bloqueadas automaticamente. Além do sistema de chaves, há um dispositivo de giro, que permite que o rotor do britador seja girado e bloqueado manualmente pelo lado externo para qualquer posição através de uma caixa de engrenagens. Sendo assim, a substituição das barras de impacto e a remoção das pontes podem ser executadas com segurança.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A Kleemann GmbH é uma empresa da Wirtgen Group, uma associação de empresas da indústria de equipamentos de construção em expansão e de atuação internacional. Esta inclui suas cinco marcas renomadas Wirtgen, Vögele, Hamm, Kleemann e Benninghoven, com sede na Alemanha e instalações de produção locais no Brasil, China e Índia. O atendimento ao cliente em todo o mundo é realizado por 55 empresas próprias de vendas e serviços.</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Fotos</w:t>
      </w:r>
      <w:r>
        <w:t>:</w:t>
      </w:r>
    </w:p>
    <w:tbl>
      <w:tblPr>
        <w:tblStyle w:val="Basic"/>
        <w:tblW w:w="0" w:type="auto"/>
        <w:tblCellSpacing w:w="71" w:type="dxa"/>
        <w:tblLook w:val="04A0" w:firstRow="1" w:lastRow="0" w:firstColumn="1" w:lastColumn="0" w:noHBand="0" w:noVBand="1"/>
      </w:tblPr>
      <w:tblGrid>
        <w:gridCol w:w="218"/>
        <w:gridCol w:w="4780"/>
        <w:gridCol w:w="142"/>
        <w:gridCol w:w="4450"/>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Projeto de comando SPECTIVE</w:t>
            </w:r>
          </w:p>
          <w:p w:rsidR="00D166AC" w:rsidRPr="00857D92" w:rsidRDefault="00081531" w:rsidP="00321AC7">
            <w:pPr>
              <w:pStyle w:val="Text"/>
              <w:jc w:val="left"/>
              <w:rPr>
                <w:sz w:val="20"/>
              </w:rPr>
            </w:pPr>
            <w:r>
              <w:t xml:space="preserve">O painel tátil de 12 polegadas intuitivo simplifica o trabalho na máquina. Todas as funções podem ser visualizadas de uma só vez e símbolos claros indicam o caminho a ser seguido.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Pacote opcional para a redução do nível de ruído</w:t>
            </w:r>
          </w:p>
          <w:p w:rsidR="007E3D03" w:rsidRPr="00857D92" w:rsidRDefault="00321AC7" w:rsidP="00321AC7">
            <w:pPr>
              <w:pStyle w:val="Text"/>
              <w:jc w:val="left"/>
              <w:rPr>
                <w:sz w:val="20"/>
              </w:rPr>
            </w:pPr>
            <w:r>
              <w:t xml:space="preserve">Tampas de proteção acústica e um assoalho de agregado fechado permitem trabalhar com redução do nível de ruído próximo à máquina. </w:t>
            </w:r>
          </w:p>
        </w:tc>
      </w:tr>
      <w:tr w:rsidR="00ED1B0F" w:rsidTr="007E3D03">
        <w:trPr>
          <w:tblCellSpacing w:w="71" w:type="dxa"/>
        </w:trPr>
        <w:tc>
          <w:tcPr>
            <w:tcW w:w="4799" w:type="dxa"/>
            <w:gridSpan w:val="3"/>
            <w:tcBorders>
              <w:right w:val="single" w:sz="4" w:space="0" w:color="auto"/>
            </w:tcBorders>
          </w:tcPr>
          <w:p w:rsidR="00ED1B0F" w:rsidRDefault="008D0EB3" w:rsidP="00993F07">
            <w:pPr>
              <w:rPr>
                <w:noProof/>
                <w:lang w:eastAsia="de-DE"/>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6886D" id="Rechteck 17" o:spid="_x0000_s1026" style="position:absolute;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bookmarkStart w:id="0" w:name="_GoBack"/>
            <w:r>
              <w:rPr>
                <w:noProof/>
                <w:lang w:val="de-DE"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-3141598</wp:posOffset>
                  </wp:positionH>
                  <wp:positionV relativeFrom="paragraph">
                    <wp:posOffset>86360</wp:posOffset>
                  </wp:positionV>
                  <wp:extent cx="2567811"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811"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ED1B0F" w:rsidRDefault="00321AC7" w:rsidP="00993F07">
            <w:pPr>
              <w:pStyle w:val="berschrift3"/>
              <w:outlineLvl w:val="2"/>
            </w:pPr>
            <w:r>
              <w:t xml:space="preserve">Sistema de segurança "Lock &amp; Turn" </w:t>
            </w:r>
          </w:p>
          <w:p w:rsidR="00321AC7" w:rsidRDefault="00321AC7" w:rsidP="00321AC7">
            <w:pPr>
              <w:pStyle w:val="Text"/>
            </w:pPr>
            <w:r>
              <w:t xml:space="preserve">O excepcional sistema "Lock &amp; Turn" garante segurança máxima ao substituir as barras de impacto ou soltar pontes.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Pr>
                <w:rFonts w:ascii="Verdana" w:eastAsia="Calibri" w:hAnsi="Verdana" w:cs="Times New Roman"/>
                <w:caps w:val="0"/>
              </w:rPr>
              <w:t>Você poderá encontrar</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mais informações em</w:t>
            </w:r>
            <w:r>
              <w:t>:</w:t>
            </w:r>
          </w:p>
          <w:p w:rsidR="00180D64" w:rsidRPr="0069055A" w:rsidRDefault="00180D64" w:rsidP="00180D64">
            <w:pPr>
              <w:pStyle w:val="Text"/>
              <w:rPr>
                <w:lang w:val="de-DE"/>
              </w:rPr>
            </w:pPr>
            <w:r w:rsidRPr="0069055A">
              <w:rPr>
                <w:lang w:val="de-DE"/>
              </w:rPr>
              <w:t>KLEEMANN GmbH</w:t>
            </w:r>
          </w:p>
          <w:p w:rsidR="00180D64" w:rsidRPr="0069055A" w:rsidRDefault="00180D64" w:rsidP="00180D64">
            <w:pPr>
              <w:pStyle w:val="Text"/>
              <w:rPr>
                <w:lang w:val="de-DE"/>
              </w:rPr>
            </w:pPr>
            <w:r w:rsidRPr="0069055A">
              <w:rPr>
                <w:lang w:val="de-DE"/>
              </w:rPr>
              <w:t>Mark Hezinger</w:t>
            </w:r>
          </w:p>
          <w:p w:rsidR="00180D64" w:rsidRPr="0069055A" w:rsidRDefault="00180D64" w:rsidP="00180D64">
            <w:pPr>
              <w:pStyle w:val="Text"/>
              <w:rPr>
                <w:lang w:val="de-DE"/>
              </w:rPr>
            </w:pPr>
            <w:r w:rsidRPr="0069055A">
              <w:rPr>
                <w:lang w:val="de-DE"/>
              </w:rPr>
              <w:t>Manfred-Wörner-Straße 160</w:t>
            </w:r>
          </w:p>
          <w:p w:rsidR="00180D64" w:rsidRPr="00180D64" w:rsidRDefault="00180D64" w:rsidP="00180D64">
            <w:pPr>
              <w:pStyle w:val="Text"/>
            </w:pPr>
            <w:r>
              <w:t>73037 Göppingen</w:t>
            </w:r>
          </w:p>
          <w:p w:rsidR="00180D64" w:rsidRPr="00180D64" w:rsidRDefault="00180D64" w:rsidP="00180D64">
            <w:pPr>
              <w:pStyle w:val="Text"/>
            </w:pPr>
            <w:r>
              <w:t>Alemanha</w:t>
            </w:r>
          </w:p>
          <w:p w:rsidR="00180D64" w:rsidRPr="00180D64" w:rsidRDefault="00180D64" w:rsidP="00180D64">
            <w:pPr>
              <w:pStyle w:val="Text"/>
            </w:pPr>
          </w:p>
          <w:p w:rsidR="00180D64" w:rsidRPr="00180D64" w:rsidRDefault="003A528F" w:rsidP="00180D64">
            <w:pPr>
              <w:pStyle w:val="Text"/>
            </w:pPr>
            <w:r>
              <w:t>Fone: +49 (0) 7161 206-0</w:t>
            </w:r>
          </w:p>
          <w:p w:rsidR="00180D64" w:rsidRPr="00180D64" w:rsidRDefault="00E87341" w:rsidP="00180D64">
            <w:pPr>
              <w:pStyle w:val="Text"/>
            </w:pPr>
            <w:r>
              <w:t>E-mail: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9055A">
                    <w:rPr>
                      <w:noProof/>
                    </w:rPr>
                    <w:t>01</w:t>
                  </w:r>
                  <w:r w:rsidRPr="008C2DB2">
                    <w:fldChar w:fldCharType="end"/>
                  </w:r>
                </w:p>
              </w:sdtContent>
            </w:sdt>
          </w:tc>
        </w:tr>
      </w:sdtContent>
    </w:sdt>
  </w:tbl>
  <w:sdt>
    <w:sdtPr>
      <w:id w:val="-958642266"/>
      <w:lock w:val="sdtContentLocked"/>
    </w:sdtPr>
    <w:sdtEndPr/>
    <w:sdtContent>
      <w:p w:rsidR="00A171F4" w:rsidRDefault="005018C2">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068CF3"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5018C2">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919F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5018C2">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COMUNICADO</w:t>
              </w:r>
              <w:r>
                <w:rPr>
                  <w:b w:val="0"/>
                  <w:sz w:val="32"/>
                </w:rPr>
                <w:t xml:space="preserve"> </w:t>
              </w:r>
              <w:r>
                <w:rPr>
                  <w:sz w:val="32"/>
                </w:rPr>
                <w:t>DE IMPRENSA</w:t>
              </w:r>
            </w:p>
          </w:tc>
        </w:tr>
      </w:tbl>
      <w:p w:rsidR="00A171F4" w:rsidRPr="002E765F" w:rsidRDefault="005018C2">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DA11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5018C2">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7881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18C2"/>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330A2"/>
    <w:rsid w:val="00633530"/>
    <w:rsid w:val="00642EB6"/>
    <w:rsid w:val="006602B7"/>
    <w:rsid w:val="00674134"/>
    <w:rsid w:val="0069055A"/>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AB0E61-AA46-4E1C-BCC6-F542268D0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79F09D4-2483-41A2-98A6-5D2E5F9FBAC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661</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2019-03-07T13:42:00Z</dcterms:created>
  <dcterms:modified xsi:type="dcterms:W3CDTF">2019-03-11T14:12:00Z</dcterms:modified>
</cp:coreProperties>
</file>