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B0F" w:rsidRPr="00ED1B0F" w:rsidRDefault="00ED1B0F" w:rsidP="00ED1B0F">
      <w:pPr>
        <w:rPr>
          <w:rFonts w:eastAsiaTheme="majorEastAsia" w:cstheme="majorBidi"/>
          <w:b/>
          <w:sz w:val="40"/>
          <w:szCs w:val="32"/>
        </w:rPr>
      </w:pPr>
      <w:r>
        <w:rPr>
          <w:rFonts w:eastAsiaTheme="majorEastAsia" w:cstheme="majorBidi"/>
          <w:b/>
          <w:sz w:val="40"/>
        </w:rPr>
        <w:t>Impianti di frantumazione e vagliatura Kleemann:</w:t>
      </w:r>
      <w:r w:rsidR="001A3FCB">
        <w:rPr>
          <w:rFonts w:eastAsiaTheme="majorEastAsia" w:cstheme="majorBidi"/>
          <w:b/>
          <w:sz w:val="40"/>
        </w:rPr>
        <w:t xml:space="preserve"> </w:t>
      </w:r>
      <w:r>
        <w:rPr>
          <w:rFonts w:eastAsiaTheme="majorEastAsia" w:cstheme="majorBidi"/>
          <w:b/>
          <w:sz w:val="40"/>
        </w:rPr>
        <w:t xml:space="preserve">Innovazioni per lavorare in modo semplice e sicuro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Aumentano i requisiti richiesti ai moderni impianti di frantumazione e di conseguenza cresce anche la loro complessità. Al tempo stesso la tecnologia deve essere sicura, il più possibile semplice da gestire e non richiedere lunghi addestramenti. Kleemann ha accettato questa sfida e presenta alla Bauma 2019 soluzioni innovative per impianti di frantumazione e vagliatura sicuri e semplici da usare. </w:t>
      </w:r>
    </w:p>
    <w:p w:rsidR="00A344B2" w:rsidRDefault="00A344B2" w:rsidP="008035E8">
      <w:pPr>
        <w:pStyle w:val="Text"/>
      </w:pPr>
    </w:p>
    <w:p w:rsidR="00ED1B0F" w:rsidRDefault="00ED1B0F" w:rsidP="00ED1B0F">
      <w:pPr>
        <w:rPr>
          <w:b/>
          <w:sz w:val="22"/>
          <w:szCs w:val="22"/>
        </w:rPr>
      </w:pPr>
      <w:r>
        <w:rPr>
          <w:b/>
          <w:sz w:val="22"/>
        </w:rPr>
        <w:t xml:space="preserve">Comandi semplici e comodi </w:t>
      </w:r>
    </w:p>
    <w:p w:rsidR="00ED1B0F" w:rsidRPr="00ED1B0F" w:rsidRDefault="00ED1B0F" w:rsidP="00ED1B0F">
      <w:pPr>
        <w:rPr>
          <w:b/>
          <w:sz w:val="22"/>
          <w:szCs w:val="22"/>
        </w:rPr>
      </w:pPr>
    </w:p>
    <w:p w:rsidR="00ED1B0F" w:rsidRDefault="00ED1B0F" w:rsidP="00ED1B0F">
      <w:pPr>
        <w:rPr>
          <w:sz w:val="22"/>
          <w:szCs w:val="22"/>
        </w:rPr>
      </w:pPr>
      <w:r>
        <w:rPr>
          <w:sz w:val="22"/>
        </w:rPr>
        <w:t xml:space="preserve">L'interfaccia tra uomo e macchina è rappresentato dal sistema di comando. L'intera linea PRO e il frantoio a urto MR 130 Z EVO2 utilizzano il sistema di comando SPECTIVE, intuitivo e comodo da usare.  Il touchpanel da 12 pollici semplifica il lavoro, in quanto tutte le funzioni sono individuabili a colpo d'occhio e il percorso è indicato da chiari simboli. L'interfaccia utente è impermeabile alla polvere e agli spruzzi d'acqua e può essere letto perfettamente anche in condizioni di poca luminosità. Una semplice guida a menu assicura che su ogni pagina compaia solo quello che è necessario. Questo concetto permette in modo semplicissimo di utilizzare l'impianto di frantumazione correttamente, sfruttandone a pieno le funzioni. </w:t>
      </w:r>
    </w:p>
    <w:p w:rsidR="00F376D5" w:rsidRDefault="00F376D5" w:rsidP="00ED1B0F">
      <w:pPr>
        <w:rPr>
          <w:sz w:val="22"/>
          <w:szCs w:val="22"/>
        </w:rPr>
      </w:pPr>
    </w:p>
    <w:p w:rsidR="00F376D5" w:rsidRPr="00F376D5" w:rsidRDefault="00F376D5" w:rsidP="00ED1B0F">
      <w:pPr>
        <w:rPr>
          <w:b/>
          <w:sz w:val="22"/>
          <w:szCs w:val="22"/>
        </w:rPr>
      </w:pPr>
      <w:r>
        <w:rPr>
          <w:b/>
          <w:sz w:val="22"/>
        </w:rPr>
        <w:t>Riduzione della rumorosità vicino alla macchina</w:t>
      </w:r>
    </w:p>
    <w:p w:rsidR="00ED1B0F" w:rsidRPr="00ED1B0F" w:rsidRDefault="00ED1B0F" w:rsidP="00ED1B0F">
      <w:pPr>
        <w:rPr>
          <w:sz w:val="22"/>
          <w:szCs w:val="22"/>
        </w:rPr>
      </w:pPr>
    </w:p>
    <w:p w:rsidR="00ED1B0F" w:rsidRPr="00ED1B0F" w:rsidRDefault="00ED1B0F" w:rsidP="00ED1B0F">
      <w:pPr>
        <w:rPr>
          <w:sz w:val="22"/>
          <w:szCs w:val="22"/>
        </w:rPr>
      </w:pPr>
      <w:r>
        <w:rPr>
          <w:sz w:val="22"/>
        </w:rPr>
        <w:t>Il nuovo pacchetto opzionale per la riduzione della rumorosità permette di lavorare in modo confortevole e sicuro vicino all'impianto. Lateralmente, all'altezza del motore, sono applicate calotte antirumore, che deviano il rumore verso l'alto. Per il trasporto vengono ripiegate nell'impianto e quindi non influiscono sulla larghezza. Inoltre il fondo del gruppo è chiuso e insonorizzato. In questo modo il rumore percepito dall'operatore si riduce di sei decibel. Per l'orecchio umano una riduzione di tre decibel viene già percepita come un dimezzamento del rumore. Ciò permette di lavorare molto più vicino alla macchina con un'emissione acustica ridotta.</w:t>
      </w:r>
    </w:p>
    <w:p w:rsidR="000A576B" w:rsidRPr="000A576B" w:rsidRDefault="000A576B" w:rsidP="000A576B">
      <w:pPr>
        <w:rPr>
          <w:sz w:val="22"/>
          <w:szCs w:val="22"/>
        </w:rPr>
      </w:pPr>
    </w:p>
    <w:p w:rsidR="00ED1B0F" w:rsidRDefault="000853E3" w:rsidP="00ED1B0F">
      <w:pPr>
        <w:rPr>
          <w:b/>
        </w:rPr>
      </w:pPr>
      <w:r>
        <w:rPr>
          <w:b/>
          <w:sz w:val="22"/>
        </w:rPr>
        <w:t>Accessibilità e sicurezza eccellenti durante la manutenzione</w:t>
      </w:r>
      <w:r>
        <w:t xml:space="preserve"> </w:t>
      </w:r>
    </w:p>
    <w:p w:rsidR="00ED1B0F" w:rsidRPr="00C61EAB" w:rsidRDefault="00ED1B0F" w:rsidP="00ED1B0F">
      <w:pPr>
        <w:rPr>
          <w:b/>
        </w:rPr>
      </w:pPr>
    </w:p>
    <w:p w:rsidR="00ED1B0F" w:rsidRDefault="00ED1B0F" w:rsidP="00ED1B0F">
      <w:pPr>
        <w:rPr>
          <w:sz w:val="22"/>
          <w:szCs w:val="22"/>
        </w:rPr>
      </w:pPr>
      <w:r>
        <w:rPr>
          <w:sz w:val="22"/>
        </w:rPr>
        <w:t xml:space="preserve">Il design ben studiato delle macchine permette un buon accesso da tutti i lati. Lungo il flusso del materiale l'operatore può accedere facilmente a tutti i componenti dell'impianto. Il frantoio a cono MCO 11 PRO, ad esempio, può essere rifornito comodamente anche da terra e la sostituzione dei rivestimenti per il prevaglio dei frantoio a urto MR 110 e 130 Z EVO2 si esegue facilmente grazie a un'apposita pedana. Anche altri lavori di assistenza alla macchina possono essere eseguiti in modo rapido e comodo grazie alla buona accessibilità.  </w:t>
      </w:r>
    </w:p>
    <w:p w:rsidR="00ED1B0F" w:rsidRPr="00ED1B0F" w:rsidRDefault="007700EB" w:rsidP="00ED1B0F">
      <w:pPr>
        <w:rPr>
          <w:sz w:val="22"/>
          <w:szCs w:val="22"/>
        </w:rPr>
      </w:pPr>
      <w:r>
        <w:rPr>
          <w:sz w:val="22"/>
        </w:rPr>
        <w:t xml:space="preserve"> </w:t>
      </w:r>
    </w:p>
    <w:p w:rsidR="00ED1B0F" w:rsidRPr="00ED1B0F" w:rsidRDefault="00ED1B0F" w:rsidP="00ED1B0F">
      <w:pPr>
        <w:rPr>
          <w:sz w:val="22"/>
          <w:szCs w:val="22"/>
        </w:rPr>
      </w:pPr>
      <w:r>
        <w:rPr>
          <w:sz w:val="22"/>
        </w:rPr>
        <w:t xml:space="preserve">Nella sostituzione dei martelli del frantoio a urto semovente o nell'eliminazione di intasamenti il premiato sistema "Lock &amp; Turn" garantisce la massima sicurezza. Il sistema di sicurezza con trasferimento a chiave permette di lavorare solo in determinate zone del frantoio. Li l'operatore può aprire gli sportelli di manutenzione e </w:t>
      </w:r>
      <w:r>
        <w:rPr>
          <w:sz w:val="22"/>
        </w:rPr>
        <w:lastRenderedPageBreak/>
        <w:t xml:space="preserve">muovere o sostituire componenti. Se l'operatore vuole intervenire in un altro punto deve estrarre le chiavi, con conseguente blocco automatico della zona in cui stava lavorando precedentemente. Oltre al sistema a chiave esiste un dispositivo di rotazione, che con l'aiuto di un riduttore permette di ruotare e bloccare manualmente dall'esterno il rotore del frantoio in qualsiasi posizione. La sostituzione dei martelli e l'eliminazione di intasamenti possono quindi essere eseguite in sicurezza.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La Kleemann GmbH è un’azienda del Gruppo Wirtgen, un consorzio di imprese in fase di espansione, attivo a livello internazionale nell’industria delle macchine edili. Al gruppo appartengono Wirtgen, Vögele, Hamm, Kleemann e Benninghoven, cinque marchi di grande tradizione e notorietà, con stabilimenti in Germania e siti produttivi locali in Brasile, Cina e India. Il servizio di assistenza operativo in tutto il mondo è reso possibile da 55 società di distribuzione e di servizi.</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Foto</w:t>
      </w:r>
      <w:r>
        <w:t>:</w:t>
      </w:r>
    </w:p>
    <w:tbl>
      <w:tblPr>
        <w:tblStyle w:val="Basic"/>
        <w:tblW w:w="0" w:type="auto"/>
        <w:tblCellSpacing w:w="71" w:type="dxa"/>
        <w:tblLook w:val="04A0" w:firstRow="1" w:lastRow="0" w:firstColumn="1" w:lastColumn="0" w:noHBand="0" w:noVBand="1"/>
      </w:tblPr>
      <w:tblGrid>
        <w:gridCol w:w="218"/>
        <w:gridCol w:w="4776"/>
        <w:gridCol w:w="142"/>
        <w:gridCol w:w="4454"/>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Soluzione di comando SPECTIVE</w:t>
            </w:r>
          </w:p>
          <w:p w:rsidR="00D166AC" w:rsidRPr="00857D92" w:rsidRDefault="00081531" w:rsidP="00321AC7">
            <w:pPr>
              <w:pStyle w:val="Text"/>
              <w:jc w:val="left"/>
              <w:rPr>
                <w:sz w:val="20"/>
              </w:rPr>
            </w:pPr>
            <w:r>
              <w:t xml:space="preserve">L'intuitivo touchpanel da 12 pollici semplifica il lavoro con la macchina. Tutte le funzioni sono individuabili a colpo d'occhio, chiari simboli segnalano il percorso.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Pacchetto opzionale per la riduzione del motore</w:t>
            </w:r>
          </w:p>
          <w:p w:rsidR="007E3D03" w:rsidRPr="00857D92" w:rsidRDefault="00321AC7" w:rsidP="00321AC7">
            <w:pPr>
              <w:pStyle w:val="Text"/>
              <w:jc w:val="left"/>
              <w:rPr>
                <w:sz w:val="20"/>
              </w:rPr>
            </w:pPr>
            <w:r>
              <w:t xml:space="preserve">Grazie a calotte antirumore e il fondo chiuso del gruppo si ottiene una riduzione delle emissioni di rumore che permettono di lavorare vicino alla macchina. </w:t>
            </w:r>
          </w:p>
        </w:tc>
      </w:tr>
      <w:tr w:rsidR="00ED1B0F" w:rsidTr="007E3D03">
        <w:trPr>
          <w:tblCellSpacing w:w="71" w:type="dxa"/>
        </w:trPr>
        <w:tc>
          <w:tcPr>
            <w:tcW w:w="4799" w:type="dxa"/>
            <w:gridSpan w:val="3"/>
            <w:tcBorders>
              <w:right w:val="single" w:sz="4" w:space="0" w:color="auto"/>
            </w:tcBorders>
          </w:tcPr>
          <w:p w:rsidR="00ED1B0F" w:rsidRDefault="008D0EB3" w:rsidP="00993F07">
            <w:pPr>
              <w:rPr>
                <w:noProof/>
                <w:lang w:eastAsia="de-DE"/>
              </w:rPr>
            </w:pPr>
            <w:r>
              <w:rPr>
                <w:noProof/>
                <w:lang w:val="de-DE" w:eastAsia="de-DE"/>
              </w:rPr>
              <mc:AlternateContent>
                <mc:Choice Requires="wps">
                  <w:drawing>
                    <wp:anchor distT="0" distB="0" distL="114300" distR="114300" simplePos="0" relativeHeight="251659264" behindDoc="0" locked="0" layoutInCell="1" allowOverlap="1" wp14:anchorId="374A56AB" wp14:editId="39EBB291">
                      <wp:simplePos x="0" y="0"/>
                      <wp:positionH relativeFrom="column">
                        <wp:posOffset>3076244</wp:posOffset>
                      </wp:positionH>
                      <wp:positionV relativeFrom="paragraph">
                        <wp:posOffset>192239</wp:posOffset>
                      </wp:positionV>
                      <wp:extent cx="111318" cy="1423284"/>
                      <wp:effectExtent l="0" t="0" r="22225" b="24765"/>
                      <wp:wrapNone/>
                      <wp:docPr id="17" name="Rechteck 17"/>
                      <wp:cNvGraphicFramePr/>
                      <a:graphic xmlns:a="http://schemas.openxmlformats.org/drawingml/2006/main">
                        <a:graphicData uri="http://schemas.microsoft.com/office/word/2010/wordprocessingShape">
                          <wps:wsp>
                            <wps:cNvSpPr/>
                            <wps:spPr>
                              <a:xfrm>
                                <a:off x="0" y="0"/>
                                <a:ext cx="111318" cy="142328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C3396F" id="Rechteck 17" o:spid="_x0000_s1026" style="position:absolute;margin-left:242.2pt;margin-top:15.15pt;width:8.75pt;height:112.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p>
          <w:p w:rsidR="001A3FCB" w:rsidRDefault="001A3FCB" w:rsidP="001A3FCB">
            <w:pPr>
              <w:pStyle w:val="Text"/>
            </w:pPr>
          </w:p>
          <w:p w:rsidR="001A3FCB" w:rsidRDefault="001A3FCB" w:rsidP="001A3FCB">
            <w:pPr>
              <w:pStyle w:val="Text"/>
            </w:pPr>
          </w:p>
          <w:p w:rsidR="001A3FCB" w:rsidRPr="001A3FCB" w:rsidRDefault="001A3FCB" w:rsidP="001A3FCB">
            <w:pPr>
              <w:pStyle w:val="Text"/>
            </w:pPr>
          </w:p>
          <w:p w:rsidR="008D0EB3" w:rsidRDefault="008D0EB3" w:rsidP="00993F07">
            <w:pPr>
              <w:pStyle w:val="berschrift3"/>
              <w:outlineLvl w:val="2"/>
            </w:pPr>
          </w:p>
          <w:p w:rsidR="008D0EB3" w:rsidRDefault="008D0EB3" w:rsidP="00993F07">
            <w:pPr>
              <w:pStyle w:val="berschrift3"/>
              <w:outlineLvl w:val="2"/>
            </w:pPr>
            <w:bookmarkStart w:id="0" w:name="_GoBack"/>
            <w:r>
              <w:rPr>
                <w:noProof/>
                <w:lang w:val="de-DE"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-3139058</wp:posOffset>
                  </wp:positionH>
                  <wp:positionV relativeFrom="paragraph">
                    <wp:posOffset>86360</wp:posOffset>
                  </wp:positionV>
                  <wp:extent cx="2567811"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811"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ED1B0F" w:rsidRDefault="00321AC7" w:rsidP="00993F07">
            <w:pPr>
              <w:pStyle w:val="berschrift3"/>
              <w:outlineLvl w:val="2"/>
            </w:pPr>
            <w:r>
              <w:t xml:space="preserve">Sistema di sicurezza "Lock &amp; Turn" </w:t>
            </w:r>
          </w:p>
          <w:p w:rsidR="00321AC7" w:rsidRDefault="00321AC7" w:rsidP="00321AC7">
            <w:pPr>
              <w:pStyle w:val="Text"/>
            </w:pPr>
            <w:r>
              <w:t xml:space="preserve">L'eccellente sistema "Lock &amp; Turn" assicura massima sicurezza nella sostituzione dei martelli e nell'eliminazione di intasamenti.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1A3FCB" w:rsidRDefault="001A3FCB" w:rsidP="00180D64">
            <w:pPr>
              <w:pStyle w:val="HeadlineKontakte"/>
              <w:rPr>
                <w:rFonts w:ascii="Verdana" w:eastAsia="Calibri" w:hAnsi="Verdana" w:cs="Times New Roman"/>
                <w:caps w:val="0"/>
              </w:rPr>
            </w:pPr>
          </w:p>
          <w:p w:rsidR="00180D64" w:rsidRPr="00566231" w:rsidRDefault="00566231" w:rsidP="00180D64">
            <w:pPr>
              <w:pStyle w:val="HeadlineKontakte"/>
              <w:rPr>
                <w:szCs w:val="22"/>
              </w:rPr>
            </w:pPr>
            <w:r>
              <w:rPr>
                <w:rFonts w:ascii="Verdana" w:eastAsia="Calibri" w:hAnsi="Verdana" w:cs="Times New Roman"/>
                <w:caps w:val="0"/>
              </w:rPr>
              <w:t>Altre informazioni</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sono disponibili presso</w:t>
            </w:r>
            <w:r>
              <w:t>:</w:t>
            </w:r>
          </w:p>
          <w:p w:rsidR="00180D64" w:rsidRPr="00F95F18" w:rsidRDefault="00180D64" w:rsidP="00180D64">
            <w:pPr>
              <w:pStyle w:val="Text"/>
              <w:rPr>
                <w:lang w:val="de-DE"/>
              </w:rPr>
            </w:pPr>
            <w:r w:rsidRPr="00F95F18">
              <w:rPr>
                <w:lang w:val="de-DE"/>
              </w:rPr>
              <w:t>KLEEMANN GmbH</w:t>
            </w:r>
          </w:p>
          <w:p w:rsidR="00180D64" w:rsidRPr="00F95F18" w:rsidRDefault="00180D64" w:rsidP="00180D64">
            <w:pPr>
              <w:pStyle w:val="Text"/>
              <w:rPr>
                <w:lang w:val="de-DE"/>
              </w:rPr>
            </w:pPr>
            <w:r w:rsidRPr="00F95F18">
              <w:rPr>
                <w:lang w:val="de-DE"/>
              </w:rPr>
              <w:t>Mark Hezinger</w:t>
            </w:r>
          </w:p>
          <w:p w:rsidR="00180D64" w:rsidRPr="00F95F18" w:rsidRDefault="00180D64" w:rsidP="00180D64">
            <w:pPr>
              <w:pStyle w:val="Text"/>
              <w:rPr>
                <w:lang w:val="de-DE"/>
              </w:rPr>
            </w:pPr>
            <w:r w:rsidRPr="00F95F18">
              <w:rPr>
                <w:lang w:val="de-DE"/>
              </w:rPr>
              <w:t>Manfred-Wörner-Straße 160</w:t>
            </w:r>
          </w:p>
          <w:p w:rsidR="00180D64" w:rsidRPr="00180D64" w:rsidRDefault="00180D64" w:rsidP="00180D64">
            <w:pPr>
              <w:pStyle w:val="Text"/>
            </w:pPr>
            <w:r>
              <w:t>73037 Göppingen</w:t>
            </w:r>
          </w:p>
          <w:p w:rsidR="00180D64" w:rsidRPr="00180D64" w:rsidRDefault="00180D64" w:rsidP="00180D64">
            <w:pPr>
              <w:pStyle w:val="Text"/>
            </w:pPr>
            <w:r>
              <w:t>Germania</w:t>
            </w:r>
          </w:p>
          <w:p w:rsidR="00180D64" w:rsidRPr="00180D64" w:rsidRDefault="00180D64" w:rsidP="00180D64">
            <w:pPr>
              <w:pStyle w:val="Text"/>
            </w:pPr>
          </w:p>
          <w:p w:rsidR="00180D64" w:rsidRPr="00180D64" w:rsidRDefault="003A528F" w:rsidP="00180D64">
            <w:pPr>
              <w:pStyle w:val="Text"/>
            </w:pPr>
            <w:r>
              <w:t>Telefono: +49 (0) 7161 206-0</w:t>
            </w:r>
          </w:p>
          <w:p w:rsidR="00180D64" w:rsidRPr="00180D64" w:rsidRDefault="00E87341" w:rsidP="00180D64">
            <w:pPr>
              <w:pStyle w:val="Text"/>
            </w:pPr>
            <w:r>
              <w:t>E-mail: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95F18">
                    <w:rPr>
                      <w:noProof/>
                    </w:rPr>
                    <w:t>01</w:t>
                  </w:r>
                  <w:r w:rsidRPr="008C2DB2">
                    <w:fldChar w:fldCharType="end"/>
                  </w:r>
                </w:p>
              </w:sdtContent>
            </w:sdt>
          </w:tc>
        </w:tr>
      </w:sdtContent>
    </w:sdt>
  </w:tbl>
  <w:sdt>
    <w:sdtPr>
      <w:id w:val="-958642266"/>
      <w:lock w:val="sdtContentLocked"/>
    </w:sdtPr>
    <w:sdtEndPr/>
    <w:sdtContent>
      <w:p w:rsidR="00A171F4" w:rsidRDefault="001A3FCB">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D8F6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1A3FCB">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F57B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1A3FCB">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 xml:space="preserve">COMUNICATO </w:t>
              </w:r>
              <w:r>
                <w:rPr>
                  <w:b w:val="0"/>
                  <w:sz w:val="32"/>
                </w:rPr>
                <w:t xml:space="preserve"> </w:t>
              </w:r>
              <w:r>
                <w:rPr>
                  <w:sz w:val="32"/>
                </w:rPr>
                <w:t>STAMPA</w:t>
              </w:r>
            </w:p>
          </w:tc>
        </w:tr>
      </w:tbl>
      <w:p w:rsidR="00A171F4" w:rsidRPr="002E765F" w:rsidRDefault="001A3FCB">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1080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1A3FCB">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BDD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3FCB"/>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330A2"/>
    <w:rsid w:val="00633530"/>
    <w:rsid w:val="00642EB6"/>
    <w:rsid w:val="006602B7"/>
    <w:rsid w:val="00674134"/>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5F18"/>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C81FAC-36DF-465F-B102-DAE7CD44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81C070EA-520F-4AAB-8B45-2411B5632F6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646</Words>
  <Characters>4074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2019-03-06T08:01:00Z</dcterms:created>
  <dcterms:modified xsi:type="dcterms:W3CDTF">2019-03-11T14:15:00Z</dcterms:modified>
</cp:coreProperties>
</file>