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25C0" w:rsidRPr="00157729" w:rsidRDefault="00071AAD" w:rsidP="00493F01">
      <w:pPr>
        <w:pStyle w:val="berschrift1"/>
        <w:spacing w:before="0" w:after="0" w:line="276" w:lineRule="auto"/>
        <w:jc w:val="left"/>
      </w:pPr>
      <w:r w:rsidRPr="00157729">
        <w:t>Estreno a nivel mundial - La planta de mezcla asfáltica TBA de BENNINGHOVEN dispone por primera vez de generador de gas caliente</w:t>
      </w:r>
      <w:bookmarkStart w:id="0" w:name="_GoBack"/>
      <w:bookmarkEnd w:id="0"/>
    </w:p>
    <w:p w:rsidR="006D25C0" w:rsidRDefault="006D25C0" w:rsidP="006D25C0">
      <w:pPr>
        <w:pStyle w:val="Text"/>
      </w:pPr>
    </w:p>
    <w:p w:rsidR="00FE61B5" w:rsidRDefault="003F0691" w:rsidP="00493F01">
      <w:pPr>
        <w:pStyle w:val="Text"/>
        <w:spacing w:line="276" w:lineRule="auto"/>
        <w:rPr>
          <w:rStyle w:val="Hervorhebung"/>
        </w:rPr>
      </w:pPr>
      <w:r>
        <w:rPr>
          <w:rStyle w:val="Hervorhebung"/>
        </w:rPr>
        <w:t xml:space="preserve">Innovadora tecnología de BENNINGHOVEN: el tambor de reciclaje en contracorriente con generador de gas caliente, ahora se monta también en la TBA. </w:t>
      </w:r>
    </w:p>
    <w:p w:rsidR="001A1F24" w:rsidRDefault="001A1F24" w:rsidP="00493F01">
      <w:pPr>
        <w:pStyle w:val="Text"/>
        <w:spacing w:line="276" w:lineRule="auto"/>
      </w:pPr>
    </w:p>
    <w:p w:rsidR="00DB6D77" w:rsidRDefault="00E1612A" w:rsidP="00E1612A">
      <w:pPr>
        <w:pStyle w:val="Text"/>
        <w:spacing w:line="276" w:lineRule="auto"/>
      </w:pPr>
      <w:r>
        <w:t>La planta de mezcla asfáltica móvil del tipo TBA cubre una gama de rendimiento de 160 a 320</w:t>
      </w:r>
      <w:r w:rsidR="00157729">
        <w:t> </w:t>
      </w:r>
      <w:r>
        <w:t>t/h y es adecuada tanto para aplicaciones semimóviles como fijas. El</w:t>
      </w:r>
      <w:r w:rsidR="00157729">
        <w:t> </w:t>
      </w:r>
      <w:r>
        <w:t>diseño de los principales componentes en forma de contenedor con cableado enchufable ofrece posibilidades inmejorables de transporte y reduce el tiempo de montaje del sistema modular. La gran flexibilidad de la planta, las opciones disponibles, los sistemas de adicción de material de reciclaje y la posibilidad continua de reequipamiento de los componentes hacen que la TBA se convierta en un verdadero multitalento.</w:t>
      </w:r>
    </w:p>
    <w:p w:rsidR="003F0691" w:rsidRDefault="003F0691" w:rsidP="00E1612A">
      <w:pPr>
        <w:pStyle w:val="Text"/>
        <w:spacing w:line="276" w:lineRule="auto"/>
      </w:pPr>
    </w:p>
    <w:p w:rsidR="00B15E0C" w:rsidRDefault="003F0691" w:rsidP="00B15E0C">
      <w:pPr>
        <w:pStyle w:val="Text"/>
        <w:spacing w:line="276" w:lineRule="auto"/>
      </w:pPr>
      <w:r>
        <w:t>Sin lugar a dudas, un valor añadido es la gran capacidad de almacenamiento del compartimento de calor y del silo de carga de mezcla de material. El almacén intermedio del mineral blanco caliente, seco y clasificado está disponible en capacidades de 60, 80 y 130 toneladas en 5, 6 o 7 bolsas. Existe también la posibilidad de combinar o separar la arena y una derivación, dirigir los granos de gran tamaño hacia fuera o recogerlos en la última bolsa.</w:t>
      </w:r>
    </w:p>
    <w:p w:rsidR="00B15E0C" w:rsidRDefault="00B15E0C" w:rsidP="00B15E0C">
      <w:pPr>
        <w:pStyle w:val="Text"/>
        <w:spacing w:line="276" w:lineRule="auto"/>
      </w:pPr>
    </w:p>
    <w:p w:rsidR="00B15E0C" w:rsidRDefault="00B15E0C" w:rsidP="00B15E0C">
      <w:pPr>
        <w:pStyle w:val="Text"/>
        <w:spacing w:line="276" w:lineRule="auto"/>
      </w:pPr>
      <w:r>
        <w:t>A modo de depósito hay integrado un silo de carga de mezcla de material con unas dimensiones de 42 - 517</w:t>
      </w:r>
      <w:r w:rsidR="00157729">
        <w:t> </w:t>
      </w:r>
      <w:r>
        <w:t>t, con una capacidad de almacenamiento simultánea de hasta siete tipos de asfalto (fórmulas). Gracias al sistema modular se puede ampliar y reequipar en cualquier momento.</w:t>
      </w:r>
    </w:p>
    <w:p w:rsidR="00CF40A7" w:rsidRDefault="00CF40A7" w:rsidP="00E1612A">
      <w:pPr>
        <w:pStyle w:val="Text"/>
        <w:spacing w:line="276" w:lineRule="auto"/>
      </w:pPr>
    </w:p>
    <w:p w:rsidR="00E1612A" w:rsidRDefault="00E1612A" w:rsidP="00DB6D77">
      <w:pPr>
        <w:pStyle w:val="Text"/>
        <w:spacing w:line="276" w:lineRule="auto"/>
        <w:rPr>
          <w:rStyle w:val="Hervorhebung"/>
        </w:rPr>
      </w:pPr>
    </w:p>
    <w:p w:rsidR="00EA3976" w:rsidRPr="00EA3976" w:rsidRDefault="00EA3976" w:rsidP="00EA3976">
      <w:pPr>
        <w:pStyle w:val="Text"/>
        <w:spacing w:line="276" w:lineRule="auto"/>
        <w:rPr>
          <w:b/>
          <w:iCs/>
        </w:rPr>
      </w:pPr>
      <w:r>
        <w:rPr>
          <w:b/>
          <w:iCs/>
        </w:rPr>
        <w:t>Asfalto de 2, 3 o 4 toneladas cada 45 segundos</w:t>
      </w:r>
    </w:p>
    <w:p w:rsidR="00EA3976" w:rsidRPr="00EA3976" w:rsidRDefault="00EA3976" w:rsidP="00EA3976">
      <w:pPr>
        <w:pStyle w:val="Text"/>
        <w:spacing w:line="276" w:lineRule="auto"/>
        <w:rPr>
          <w:iCs/>
        </w:rPr>
      </w:pPr>
      <w:r>
        <w:t>Las plantas TBA 2000, 3000 o 4000 disponen de un mezclador de 2000, 3000 o 4000</w:t>
      </w:r>
      <w:r w:rsidR="00157729">
        <w:t> </w:t>
      </w:r>
      <w:r>
        <w:t>kg y garantizan un rendimiento de mezclado de 160, 240 o 320</w:t>
      </w:r>
      <w:r w:rsidR="001D206A">
        <w:t> </w:t>
      </w:r>
      <w:r>
        <w:t>t/h. La planta de este tipo es de lo más robusta y puede instalarse en zonas sísmicas o resistir grandes cargas de viento. Las TBA se pueden transportar fácilmente gracias a su modularidad y al cableado previo (diseñado para una conexión rápida), además de poderse implementar en otros lugares sin complicaciones.</w:t>
      </w:r>
    </w:p>
    <w:p w:rsidR="00EA3976" w:rsidRPr="00EA3976" w:rsidRDefault="00EA3976" w:rsidP="00EA3976">
      <w:pPr>
        <w:pStyle w:val="Text"/>
        <w:spacing w:line="276" w:lineRule="auto"/>
        <w:rPr>
          <w:iCs/>
        </w:rPr>
      </w:pPr>
    </w:p>
    <w:p w:rsidR="001D206A" w:rsidRDefault="001D206A" w:rsidP="00EA3976">
      <w:pPr>
        <w:pStyle w:val="Text"/>
        <w:spacing w:line="276" w:lineRule="auto"/>
        <w:rPr>
          <w:b/>
          <w:iCs/>
        </w:rPr>
      </w:pPr>
      <w:r>
        <w:rPr>
          <w:b/>
          <w:iCs/>
        </w:rPr>
        <w:br w:type="page"/>
      </w:r>
    </w:p>
    <w:p w:rsidR="00EA3976" w:rsidRPr="00EA3976" w:rsidRDefault="00EA3976" w:rsidP="00EA3976">
      <w:pPr>
        <w:pStyle w:val="Text"/>
        <w:spacing w:line="276" w:lineRule="auto"/>
        <w:rPr>
          <w:b/>
          <w:iCs/>
        </w:rPr>
      </w:pPr>
      <w:r>
        <w:rPr>
          <w:b/>
          <w:iCs/>
        </w:rPr>
        <w:lastRenderedPageBreak/>
        <w:t>Aspectos más destacados de la planta BENNINGHOVEN móvil (TBA)</w:t>
      </w:r>
    </w:p>
    <w:p w:rsidR="00EA3976" w:rsidRPr="00EA3976" w:rsidRDefault="00EA3976" w:rsidP="00EA3976">
      <w:pPr>
        <w:pStyle w:val="Text"/>
        <w:numPr>
          <w:ilvl w:val="0"/>
          <w:numId w:val="28"/>
        </w:numPr>
        <w:spacing w:line="276" w:lineRule="auto"/>
        <w:rPr>
          <w:iCs/>
        </w:rPr>
      </w:pPr>
      <w:r>
        <w:t>Sistema modular</w:t>
      </w:r>
    </w:p>
    <w:p w:rsidR="00EA3976" w:rsidRPr="00EA3976" w:rsidRDefault="00EA3976" w:rsidP="00EA3976">
      <w:pPr>
        <w:pStyle w:val="Text"/>
        <w:numPr>
          <w:ilvl w:val="0"/>
          <w:numId w:val="28"/>
        </w:numPr>
        <w:spacing w:line="276" w:lineRule="auto"/>
        <w:rPr>
          <w:iCs/>
        </w:rPr>
      </w:pPr>
      <w:r>
        <w:t>Mayor rendimiento</w:t>
      </w:r>
    </w:p>
    <w:p w:rsidR="00EA3976" w:rsidRPr="00EA3976" w:rsidRDefault="00EA3976" w:rsidP="00EA3976">
      <w:pPr>
        <w:pStyle w:val="Text"/>
        <w:numPr>
          <w:ilvl w:val="0"/>
          <w:numId w:val="28"/>
        </w:numPr>
        <w:spacing w:line="276" w:lineRule="auto"/>
        <w:rPr>
          <w:iCs/>
        </w:rPr>
      </w:pPr>
      <w:r>
        <w:t>Adición de reciclaje superior a 80</w:t>
      </w:r>
      <w:r w:rsidR="001D206A">
        <w:t> </w:t>
      </w:r>
      <w:r>
        <w:t>%</w:t>
      </w:r>
    </w:p>
    <w:p w:rsidR="00EA3976" w:rsidRPr="00EA3976" w:rsidRDefault="00EA3976" w:rsidP="00EA3976">
      <w:pPr>
        <w:pStyle w:val="Text"/>
        <w:numPr>
          <w:ilvl w:val="0"/>
          <w:numId w:val="28"/>
        </w:numPr>
        <w:spacing w:line="276" w:lineRule="auto"/>
        <w:rPr>
          <w:iCs/>
        </w:rPr>
      </w:pPr>
      <w:r>
        <w:t>Gran variedad de opciones</w:t>
      </w:r>
    </w:p>
    <w:p w:rsidR="00EA3976" w:rsidRPr="00EA3976" w:rsidRDefault="00EA3976" w:rsidP="00EA3976">
      <w:pPr>
        <w:pStyle w:val="Text"/>
        <w:numPr>
          <w:ilvl w:val="0"/>
          <w:numId w:val="28"/>
        </w:numPr>
        <w:spacing w:line="276" w:lineRule="auto"/>
        <w:rPr>
          <w:iCs/>
        </w:rPr>
      </w:pPr>
      <w:r>
        <w:t>Robustez frente a terremotos y cargas del viento</w:t>
      </w:r>
    </w:p>
    <w:p w:rsidR="00EA3976" w:rsidRPr="001D206A" w:rsidRDefault="00EA3976" w:rsidP="00EA3976">
      <w:pPr>
        <w:pStyle w:val="Text"/>
        <w:numPr>
          <w:ilvl w:val="0"/>
          <w:numId w:val="28"/>
        </w:numPr>
        <w:spacing w:line="276" w:lineRule="auto"/>
        <w:rPr>
          <w:iCs/>
          <w:spacing w:val="-4"/>
        </w:rPr>
      </w:pPr>
      <w:r w:rsidRPr="001D206A">
        <w:rPr>
          <w:spacing w:val="-4"/>
        </w:rPr>
        <w:t xml:space="preserve">Transporte fácil y tiempo de montaje breve gracias al diseño de los componentes principales tipo contenedor con cableado enchufable </w:t>
      </w:r>
      <w:r w:rsidR="00FF7937" w:rsidRPr="001D206A">
        <w:rPr>
          <w:spacing w:val="-4"/>
        </w:rPr>
        <w:t>“Plug &amp; Work”</w:t>
      </w:r>
    </w:p>
    <w:p w:rsidR="008728A3" w:rsidRPr="00EA3976" w:rsidRDefault="008728A3" w:rsidP="00EA3976">
      <w:pPr>
        <w:pStyle w:val="Text"/>
        <w:numPr>
          <w:ilvl w:val="0"/>
          <w:numId w:val="28"/>
        </w:numPr>
        <w:spacing w:line="276" w:lineRule="auto"/>
        <w:rPr>
          <w:iCs/>
        </w:rPr>
      </w:pPr>
      <w:r>
        <w:t>Capacidad de almacenamiento del silo de carga de hasta 517 t</w:t>
      </w:r>
    </w:p>
    <w:p w:rsidR="00E1612A" w:rsidRDefault="00E1612A" w:rsidP="00DB6D77">
      <w:pPr>
        <w:pStyle w:val="Text"/>
        <w:spacing w:line="276" w:lineRule="auto"/>
        <w:rPr>
          <w:iCs/>
        </w:rPr>
      </w:pPr>
    </w:p>
    <w:p w:rsidR="008728A3" w:rsidRPr="00EA3976" w:rsidRDefault="008728A3" w:rsidP="00DB6D77">
      <w:pPr>
        <w:pStyle w:val="Text"/>
        <w:spacing w:line="276" w:lineRule="auto"/>
        <w:rPr>
          <w:iCs/>
        </w:rPr>
      </w:pPr>
    </w:p>
    <w:p w:rsidR="0081485F" w:rsidRPr="0081485F" w:rsidRDefault="0081485F" w:rsidP="0081485F">
      <w:pPr>
        <w:pStyle w:val="Text"/>
        <w:spacing w:line="276" w:lineRule="auto"/>
        <w:rPr>
          <w:b/>
        </w:rPr>
      </w:pPr>
      <w:r>
        <w:rPr>
          <w:b/>
        </w:rPr>
        <w:t xml:space="preserve">Innovadoras tecnologías de reciclaje de BENNINGHOVEN </w:t>
      </w:r>
    </w:p>
    <w:p w:rsidR="0081485F" w:rsidRDefault="0081485F" w:rsidP="0081485F">
      <w:pPr>
        <w:pStyle w:val="Text"/>
        <w:spacing w:line="276" w:lineRule="auto"/>
      </w:pPr>
      <w:r>
        <w:t>La preparación de asfalto reciclado es una apuesta por mantener los recursos naturales. Esta importante razón para el reciclaje es solo una de varias. Las</w:t>
      </w:r>
      <w:r w:rsidR="001D206A">
        <w:t> </w:t>
      </w:r>
      <w:r>
        <w:t>especificaciones particulares de cada país, la reducción de emisiones y la mayor rentabilidad son otros argumentos de peso para usar la tecnología verde de BENNINGHOVEN. Estas tecnologías pueden integrarse en las plantas TBA:</w:t>
      </w:r>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Sistema de adición de material de reciclaje frío:</w:t>
      </w:r>
    </w:p>
    <w:p w:rsidR="0081485F" w:rsidRDefault="0081485F" w:rsidP="007278D0">
      <w:pPr>
        <w:pStyle w:val="Text"/>
        <w:spacing w:line="276" w:lineRule="auto"/>
        <w:ind w:firstLine="360"/>
      </w:pPr>
      <w:r>
        <w:t>Adición del mezclador para cuotas de reciclado de hasta 30</w:t>
      </w:r>
      <w:r w:rsidR="001D206A">
        <w:t> </w:t>
      </w:r>
      <w:r>
        <w:t>%</w:t>
      </w:r>
    </w:p>
    <w:p w:rsidR="0081485F" w:rsidRDefault="0081485F" w:rsidP="007278D0">
      <w:pPr>
        <w:pStyle w:val="Text"/>
        <w:spacing w:line="276" w:lineRule="auto"/>
        <w:ind w:firstLine="360"/>
      </w:pPr>
      <w:r>
        <w:t>Adición multivariable para cuotas de reciclado de hasta 40</w:t>
      </w:r>
      <w:r w:rsidR="001D206A">
        <w:t> </w:t>
      </w:r>
      <w:r>
        <w:t>%</w:t>
      </w:r>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Sistema de adición de material de reciclaje caliente:</w:t>
      </w:r>
    </w:p>
    <w:p w:rsidR="0081485F" w:rsidRDefault="0081485F" w:rsidP="007278D0">
      <w:pPr>
        <w:pStyle w:val="Text"/>
        <w:spacing w:line="276" w:lineRule="auto"/>
        <w:ind w:firstLine="360"/>
      </w:pPr>
      <w:r>
        <w:t>Tambor paralelo para cuotas de reciclado de hasta 70</w:t>
      </w:r>
      <w:r w:rsidR="001D206A">
        <w:t> </w:t>
      </w:r>
      <w:r>
        <w:t>%</w:t>
      </w:r>
    </w:p>
    <w:p w:rsidR="00147E7D" w:rsidRDefault="0081485F" w:rsidP="007278D0">
      <w:pPr>
        <w:pStyle w:val="Text"/>
        <w:spacing w:line="276" w:lineRule="auto"/>
        <w:ind w:left="360"/>
      </w:pPr>
      <w:r>
        <w:t>Nuevo: Tambor de reciclaje en contracorriente con generador de gas caliente para cuotas de reciclado de hasta 80</w:t>
      </w:r>
      <w:r w:rsidR="001D206A">
        <w:t> </w:t>
      </w:r>
      <w:r>
        <w:t>%</w:t>
      </w:r>
    </w:p>
    <w:p w:rsidR="00147E7D" w:rsidRDefault="00147E7D" w:rsidP="005466D6">
      <w:pPr>
        <w:pStyle w:val="Text"/>
        <w:spacing w:line="276" w:lineRule="auto"/>
      </w:pPr>
    </w:p>
    <w:p w:rsidR="00404E54" w:rsidRDefault="00EB6A7A" w:rsidP="007278D0">
      <w:pPr>
        <w:pStyle w:val="Text"/>
        <w:numPr>
          <w:ilvl w:val="0"/>
          <w:numId w:val="30"/>
        </w:numPr>
        <w:spacing w:line="276" w:lineRule="auto"/>
      </w:pPr>
      <w:r>
        <w:t>Combinación de sistemas de adición en frío y caliente:</w:t>
      </w:r>
    </w:p>
    <w:p w:rsidR="00404E54" w:rsidRDefault="00FB47F8" w:rsidP="00FB47F8">
      <w:pPr>
        <w:pStyle w:val="Text"/>
        <w:spacing w:line="276" w:lineRule="auto"/>
        <w:ind w:left="360"/>
      </w:pPr>
      <w:r>
        <w:t>La aplicación de un sistema de adición en caliente merece la pena, sobre todo, para grandes cantidades y para cuotas de adición de reciclado de hasta 80</w:t>
      </w:r>
      <w:r w:rsidR="001D206A">
        <w:t> </w:t>
      </w:r>
      <w:r>
        <w:t>%. Un</w:t>
      </w:r>
      <w:r w:rsidR="001D206A">
        <w:t> </w:t>
      </w:r>
      <w:r>
        <w:t>sistema de adición en frío montado adicionalmente con una posible cuota de adición de hasta el 40</w:t>
      </w:r>
      <w:r w:rsidR="001D206A">
        <w:t> </w:t>
      </w:r>
      <w:r>
        <w:t>% consigue la flexibilidad necesaria para el cliente. Con la adición en frío pueden cubrirse cantidades pequeñas desde 2</w:t>
      </w:r>
      <w:r w:rsidR="001D206A">
        <w:t> </w:t>
      </w:r>
      <w:r>
        <w:t xml:space="preserve">t. Con el sistema de adición en caliente se pueden despachar encargos de mayor tamaño. </w:t>
      </w:r>
    </w:p>
    <w:p w:rsidR="00404E54" w:rsidRDefault="00404E54" w:rsidP="005466D6">
      <w:pPr>
        <w:pStyle w:val="Text"/>
        <w:spacing w:line="276" w:lineRule="auto"/>
      </w:pPr>
    </w:p>
    <w:p w:rsidR="00404E54" w:rsidRPr="001D206A" w:rsidRDefault="00F46C83" w:rsidP="005466D6">
      <w:pPr>
        <w:pStyle w:val="Text"/>
        <w:spacing w:line="276" w:lineRule="auto"/>
        <w:rPr>
          <w:b/>
          <w:spacing w:val="-2"/>
        </w:rPr>
      </w:pPr>
      <w:r w:rsidRPr="001D206A">
        <w:rPr>
          <w:b/>
          <w:spacing w:val="-2"/>
        </w:rPr>
        <w:t>Sistema eficaz para la hermana mayor BA RPP, ahora también de la serie TBA</w:t>
      </w:r>
    </w:p>
    <w:p w:rsidR="00F46C83" w:rsidRDefault="00F46C83" w:rsidP="005466D6">
      <w:pPr>
        <w:pStyle w:val="Text"/>
        <w:spacing w:line="276" w:lineRule="auto"/>
      </w:pPr>
      <w:r>
        <w:t>El desafío del reciclaje en caliente es llevar el material de reciclaje a la temperatura de procesamiento óptima de 160</w:t>
      </w:r>
      <w:r w:rsidR="00DF741B">
        <w:t> °C</w:t>
      </w:r>
      <w:r>
        <w:t xml:space="preserve"> manteniendo los niveles de emisión en el rango normal y sin quemar el asfalto; sobre todo, porque en el futuro se aplicarán estándares y valores límite cada vez más estrictos. </w:t>
      </w:r>
    </w:p>
    <w:p w:rsidR="00F46C83" w:rsidRDefault="00F46C83" w:rsidP="005466D6">
      <w:pPr>
        <w:pStyle w:val="Text"/>
        <w:spacing w:line="276" w:lineRule="auto"/>
      </w:pPr>
    </w:p>
    <w:p w:rsidR="00404E54" w:rsidRPr="009B0EC1" w:rsidRDefault="00F46C83" w:rsidP="005466D6">
      <w:pPr>
        <w:pStyle w:val="Text"/>
        <w:spacing w:line="276" w:lineRule="auto"/>
      </w:pPr>
      <w:r>
        <w:t>El generador de gas caliente es la solución ecológica, segura para el futuro y para las inversiones de BENNINGHOVEN para estos supuestos conflictos de interés. El</w:t>
      </w:r>
      <w:r w:rsidR="001D206A">
        <w:t> </w:t>
      </w:r>
      <w:r>
        <w:t xml:space="preserve">material de reciclaje, como el mineral blanco, se calienta mediante un quemador </w:t>
      </w:r>
      <w:r>
        <w:lastRenderedPageBreak/>
        <w:t>EVO</w:t>
      </w:r>
      <w:r w:rsidR="001D206A">
        <w:t> </w:t>
      </w:r>
      <w:r>
        <w:t>JET, aunque indirectamente en un tambor de reciclaje en contracorriente. Según cual sea la calidad del material de reciclaje que se use, son posibles cantidades de adición de más de 90</w:t>
      </w:r>
      <w:r w:rsidR="001D206A">
        <w:t> </w:t>
      </w:r>
      <w:r>
        <w:t>%.</w:t>
      </w:r>
    </w:p>
    <w:p w:rsidR="00F46C83" w:rsidRPr="009B0EC1" w:rsidRDefault="00F46C83" w:rsidP="00F46C83">
      <w:pPr>
        <w:pStyle w:val="Text"/>
        <w:spacing w:line="276" w:lineRule="auto"/>
      </w:pPr>
    </w:p>
    <w:p w:rsidR="00F46C83" w:rsidRPr="009B0EC1" w:rsidRDefault="00F46C83" w:rsidP="00F46C83">
      <w:pPr>
        <w:pStyle w:val="Text"/>
        <w:spacing w:line="276" w:lineRule="auto"/>
        <w:rPr>
          <w:b/>
        </w:rPr>
      </w:pPr>
      <w:r>
        <w:rPr>
          <w:b/>
        </w:rPr>
        <w:t>Preparación de asfalto reciclado con eficiencia energética y ecológica</w:t>
      </w:r>
    </w:p>
    <w:p w:rsidR="00F46C83" w:rsidRDefault="00F46C83" w:rsidP="00F46C83">
      <w:pPr>
        <w:pStyle w:val="Text"/>
        <w:spacing w:line="276" w:lineRule="auto"/>
      </w:pPr>
      <w:r>
        <w:t>Al diferencia del tambor paralelo convencional, el calentamiento indirecto con gas utiliza tambores de reciclaje en contracorriente para transportar el material contra la fuente calorífica. Así, la temperatura de salida de 160</w:t>
      </w:r>
      <w:r w:rsidR="00DF741B">
        <w:t> °C</w:t>
      </w:r>
      <w:r>
        <w:t xml:space="preserve"> coincide con la temperatura de procesamiento y la temperatura del gas de escape se sitúa por encima del punto de rocío, a aproximadamente 100</w:t>
      </w:r>
      <w:r w:rsidR="00DF741B">
        <w:t> °C</w:t>
      </w:r>
      <w:r>
        <w:t>. De esta forma se consiguen ventajas clave relacionadas con el proceso para la empresa explotadora de las plantas asfálticas: en el caso de la adición clásica de material de reciclaje en corriente continua, la temperatura está limitada a 130</w:t>
      </w:r>
      <w:r w:rsidR="00DF741B">
        <w:t> °C</w:t>
      </w:r>
      <w:r>
        <w:t xml:space="preserve"> debido a las emisiones de escape producidas. Las temperaturas de escape, por sus características físicas, están por encima de este valor, lo que conlleva un aumento del consumo energético y una mayor carga de extracción de polvo. Para conseguir una temperatura de la mezcla asfáltica de 160</w:t>
      </w:r>
      <w:r w:rsidR="00DF741B">
        <w:t> °C</w:t>
      </w:r>
      <w:r>
        <w:t xml:space="preserve">, el mineral blanco debe transportarse sobrecalentado. </w:t>
      </w:r>
    </w:p>
    <w:p w:rsidR="00F46C83" w:rsidRDefault="00F46C83" w:rsidP="00F46C83">
      <w:pPr>
        <w:pStyle w:val="Text"/>
        <w:spacing w:line="276" w:lineRule="auto"/>
      </w:pPr>
    </w:p>
    <w:p w:rsidR="00F46C83" w:rsidRDefault="00F46C83" w:rsidP="00F46C83">
      <w:pPr>
        <w:pStyle w:val="Text"/>
        <w:spacing w:line="276" w:lineRule="auto"/>
      </w:pPr>
      <w:r>
        <w:t>El quemador EVO JET puede encenderse con diferentes combustibles y proporciona la energía térmica necesaria para secar y calentar los materiales de reciclaje. El aire caliente producido se mezcla también en contracorriente con el aire de recirculación. De esta forma se eliminan casi por completo los hidrocarburos (</w:t>
      </w:r>
      <w:r w:rsidR="00FF7937">
        <w:t>“Cges”</w:t>
      </w:r>
      <w:r>
        <w:t>), que se originan en el aire de recirculación.</w:t>
      </w:r>
    </w:p>
    <w:p w:rsidR="00F46C83" w:rsidRDefault="00F46C83" w:rsidP="00F46C83">
      <w:pPr>
        <w:pStyle w:val="Text"/>
        <w:spacing w:line="276" w:lineRule="auto"/>
      </w:pPr>
    </w:p>
    <w:p w:rsidR="00F46C83" w:rsidRDefault="00F46C83" w:rsidP="00F46C83">
      <w:pPr>
        <w:pStyle w:val="Text"/>
        <w:spacing w:line="276" w:lineRule="auto"/>
      </w:pPr>
      <w:r>
        <w:t>El generador de gas caliente de BENNINGHOVEN contribuye de manera efectiva a la eficiencia energética, a la rentabilidad y a la protección ambiental activa.</w:t>
      </w:r>
    </w:p>
    <w:p w:rsidR="00404E54" w:rsidRDefault="00404E54" w:rsidP="005466D6">
      <w:pPr>
        <w:pStyle w:val="Text"/>
        <w:spacing w:line="276" w:lineRule="auto"/>
      </w:pPr>
    </w:p>
    <w:p w:rsidR="00F46C83" w:rsidRDefault="00F46C83" w:rsidP="00F46C83">
      <w:pPr>
        <w:pStyle w:val="Text"/>
        <w:spacing w:line="276" w:lineRule="auto"/>
        <w:rPr>
          <w:b/>
        </w:rPr>
      </w:pPr>
    </w:p>
    <w:p w:rsidR="00F46C83" w:rsidRDefault="00F46C83" w:rsidP="00F46C83">
      <w:pPr>
        <w:pStyle w:val="Text"/>
        <w:spacing w:line="276" w:lineRule="auto"/>
        <w:rPr>
          <w:b/>
        </w:rPr>
      </w:pPr>
    </w:p>
    <w:p w:rsidR="00F46C83" w:rsidRDefault="00F46C83" w:rsidP="00F46C83">
      <w:pPr>
        <w:pStyle w:val="Text"/>
        <w:spacing w:line="276" w:lineRule="auto"/>
        <w:rPr>
          <w:b/>
        </w:rPr>
      </w:pPr>
      <w:r>
        <w:rPr>
          <w:b/>
        </w:rPr>
        <w:t>Aspectos más destacados del generador de gas caliente de BENNINGHOVEN:</w:t>
      </w:r>
    </w:p>
    <w:p w:rsidR="00F46C83" w:rsidRPr="00F46C83" w:rsidRDefault="00F46C83" w:rsidP="00F46C83">
      <w:pPr>
        <w:pStyle w:val="Text"/>
        <w:spacing w:line="276" w:lineRule="auto"/>
        <w:rPr>
          <w:b/>
        </w:rPr>
      </w:pPr>
    </w:p>
    <w:p w:rsidR="00F46C83" w:rsidRDefault="00F46C83" w:rsidP="00F46C83">
      <w:pPr>
        <w:pStyle w:val="Text"/>
        <w:numPr>
          <w:ilvl w:val="0"/>
          <w:numId w:val="29"/>
        </w:numPr>
        <w:spacing w:line="276" w:lineRule="auto"/>
      </w:pPr>
      <w:r>
        <w:t>Rentabilidad: Las cuotas de adición de reciclado aumentan claramente; según la calidad por encima de 90</w:t>
      </w:r>
      <w:r w:rsidR="00245BB1">
        <w:t> </w:t>
      </w:r>
      <w:r>
        <w:t>+</w:t>
      </w:r>
      <w:r w:rsidR="00245BB1">
        <w:t> </w:t>
      </w:r>
      <w:r>
        <w:t>X</w:t>
      </w:r>
      <w:r w:rsidR="00245BB1">
        <w:t> </w:t>
      </w:r>
      <w:r>
        <w:t>%. Esto representa un verdadero valor añadido.</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 xml:space="preserve">Eficiencia energética: Se reduce la demanda energética para operar la planta. </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 xml:space="preserve">Ecológico: El uso de un generador de gas caliente reduce los valores de emisión muy por debajo del rango normal. (Cumple los requisitos de la regulación alemana para el control de la contaminación del aire: </w:t>
      </w:r>
      <w:r w:rsidR="00FF7937">
        <w:t>“TA-Luft”</w:t>
      </w:r>
      <w:r>
        <w:t>)</w:t>
      </w:r>
    </w:p>
    <w:p w:rsidR="00404E54" w:rsidRDefault="00404E54" w:rsidP="005466D6">
      <w:pPr>
        <w:pStyle w:val="Text"/>
        <w:spacing w:line="276" w:lineRule="auto"/>
      </w:pPr>
    </w:p>
    <w:p w:rsidR="00404E54" w:rsidRDefault="00404E54" w:rsidP="005466D6">
      <w:pPr>
        <w:pStyle w:val="Text"/>
        <w:spacing w:line="276" w:lineRule="auto"/>
      </w:pPr>
    </w:p>
    <w:p w:rsidR="00404E54" w:rsidRDefault="00404E54" w:rsidP="005466D6">
      <w:pPr>
        <w:pStyle w:val="Text"/>
        <w:spacing w:line="276" w:lineRule="auto"/>
      </w:pPr>
    </w:p>
    <w:p w:rsidR="00404E54" w:rsidRDefault="00404E54" w:rsidP="005466D6">
      <w:pPr>
        <w:pStyle w:val="Text"/>
        <w:spacing w:line="276" w:lineRule="auto"/>
      </w:pPr>
    </w:p>
    <w:p w:rsidR="002B5FF2" w:rsidRDefault="002B5FF2" w:rsidP="005466D6">
      <w:pPr>
        <w:pStyle w:val="Text"/>
        <w:spacing w:line="276" w:lineRule="auto"/>
        <w:rPr>
          <w:rStyle w:val="Hervorhebung"/>
        </w:rPr>
      </w:pPr>
    </w:p>
    <w:tbl>
      <w:tblPr>
        <w:tblStyle w:val="Basic"/>
        <w:tblW w:w="0" w:type="auto"/>
        <w:tblCellSpacing w:w="71" w:type="dxa"/>
        <w:tblLook w:val="04A0" w:firstRow="1" w:lastRow="0" w:firstColumn="1" w:lastColumn="0" w:noHBand="0" w:noVBand="1"/>
      </w:tblPr>
      <w:tblGrid>
        <w:gridCol w:w="5104"/>
        <w:gridCol w:w="4704"/>
      </w:tblGrid>
      <w:tr w:rsidR="00D166AC" w:rsidTr="00411224">
        <w:trPr>
          <w:cnfStyle w:val="100000000000" w:firstRow="1" w:lastRow="0" w:firstColumn="0" w:lastColumn="0" w:oddVBand="0" w:evenVBand="0" w:oddHBand="0" w:evenHBand="0" w:firstRowFirstColumn="0" w:firstRowLastColumn="0" w:lastRowFirstColumn="0" w:lastRowLastColumn="0"/>
          <w:tblCellSpacing w:w="71" w:type="dxa"/>
        </w:trPr>
        <w:tc>
          <w:tcPr>
            <w:tcW w:w="4891" w:type="dxa"/>
            <w:tcBorders>
              <w:right w:val="single" w:sz="4" w:space="0" w:color="auto"/>
            </w:tcBorders>
          </w:tcPr>
          <w:p w:rsidR="00F631EC" w:rsidRDefault="00404E54" w:rsidP="00D166AC">
            <w:r>
              <w:rPr>
                <w:noProof/>
              </w:rPr>
              <w:drawing>
                <wp:inline distT="0" distB="0" distL="0" distR="0" wp14:anchorId="4C4D28C7" wp14:editId="47222778">
                  <wp:extent cx="2979683" cy="1922571"/>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985318" cy="1926207"/>
                          </a:xfrm>
                          <a:prstGeom prst="rect">
                            <a:avLst/>
                          </a:prstGeom>
                        </pic:spPr>
                      </pic:pic>
                    </a:graphicData>
                  </a:graphic>
                </wp:inline>
              </w:drawing>
            </w:r>
          </w:p>
          <w:p w:rsidR="00F631EC" w:rsidRDefault="00F631EC" w:rsidP="00D166AC"/>
          <w:p w:rsidR="00F631EC" w:rsidRDefault="00F631EC" w:rsidP="00D166AC"/>
          <w:p w:rsidR="00411224" w:rsidRDefault="00411224" w:rsidP="00D166AC"/>
          <w:p w:rsidR="00F631EC" w:rsidRDefault="00404E54" w:rsidP="00D166AC">
            <w:r>
              <w:rPr>
                <w:noProof/>
              </w:rPr>
              <w:drawing>
                <wp:inline distT="0" distB="0" distL="0" distR="0" wp14:anchorId="5537DDFF" wp14:editId="5B4C5F18">
                  <wp:extent cx="2979683" cy="2126580"/>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985885" cy="2131006"/>
                          </a:xfrm>
                          <a:prstGeom prst="rect">
                            <a:avLst/>
                          </a:prstGeom>
                        </pic:spPr>
                      </pic:pic>
                    </a:graphicData>
                  </a:graphic>
                </wp:inline>
              </w:drawing>
            </w:r>
          </w:p>
          <w:p w:rsidR="00F631EC" w:rsidRDefault="00F631EC" w:rsidP="00D166AC"/>
          <w:p w:rsidR="00F631EC" w:rsidRDefault="00F631EC" w:rsidP="00D166AC"/>
          <w:p w:rsidR="007E77C8" w:rsidRDefault="00404E54" w:rsidP="00D166AC">
            <w:r>
              <w:rPr>
                <w:noProof/>
              </w:rPr>
              <w:drawing>
                <wp:inline distT="0" distB="0" distL="0" distR="0" wp14:anchorId="1BE9054C" wp14:editId="557CE576">
                  <wp:extent cx="2979683" cy="2487399"/>
                  <wp:effectExtent l="0" t="0" r="0" b="825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11665" cy="2514097"/>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832444" w:rsidP="00D166AC">
            <w:r>
              <w:rPr>
                <w:noProof/>
              </w:rPr>
              <w:lastRenderedPageBreak/>
              <mc:AlternateContent>
                <mc:Choice Requires="wps">
                  <w:drawing>
                    <wp:anchor distT="0" distB="0" distL="114300" distR="114300" simplePos="0" relativeHeight="251665408" behindDoc="0" locked="0" layoutInCell="1" allowOverlap="1" wp14:anchorId="027F6079" wp14:editId="6BA4B3A2">
                      <wp:simplePos x="0" y="0"/>
                      <wp:positionH relativeFrom="column">
                        <wp:posOffset>1191895</wp:posOffset>
                      </wp:positionH>
                      <wp:positionV relativeFrom="paragraph">
                        <wp:posOffset>1113790</wp:posOffset>
                      </wp:positionV>
                      <wp:extent cx="179705" cy="179705"/>
                      <wp:effectExtent l="0" t="0" r="10795" b="10795"/>
                      <wp:wrapNone/>
                      <wp:docPr id="19" name="Ellipse 19"/>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7F6079" id="Ellipse 19" o:spid="_x0000_s1026" style="position:absolute;margin-left:93.85pt;margin-top:87.7pt;width:14.15pt;height:14.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4</w:t>
                            </w:r>
                          </w:p>
                        </w:txbxContent>
                      </v:textbox>
                    </v:oval>
                  </w:pict>
                </mc:Fallback>
              </mc:AlternateContent>
            </w:r>
            <w:r>
              <w:rPr>
                <w:noProof/>
              </w:rPr>
              <mc:AlternateContent>
                <mc:Choice Requires="wps">
                  <w:drawing>
                    <wp:anchor distT="0" distB="0" distL="114300" distR="114300" simplePos="0" relativeHeight="251659264" behindDoc="0" locked="0" layoutInCell="1" allowOverlap="1" wp14:anchorId="5B753FB9" wp14:editId="3C1A7FCA">
                      <wp:simplePos x="0" y="0"/>
                      <wp:positionH relativeFrom="column">
                        <wp:posOffset>2319020</wp:posOffset>
                      </wp:positionH>
                      <wp:positionV relativeFrom="paragraph">
                        <wp:posOffset>480060</wp:posOffset>
                      </wp:positionV>
                      <wp:extent cx="179705" cy="179705"/>
                      <wp:effectExtent l="0" t="0" r="10795" b="10795"/>
                      <wp:wrapNone/>
                      <wp:docPr id="8" name="Ellipse 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chemeClr val="tx2"/>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53621" w:rsidRDefault="00C53621" w:rsidP="00C53621">
                                  <w:pPr>
                                    <w:jc w:val="center"/>
                                  </w:pPr>
                                  <w: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753FB9" id="Ellipse 8" o:spid="_x0000_s1027" style="position:absolute;margin-left:182.6pt;margin-top:37.8pt;width:14.1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" fillcolor="#0062a7 [3215]" strokecolor="white [3212]" strokeweight=".5pt">
                      <v:textbox inset="0,0,0,0">
                        <w:txbxContent>
                          <w:p w:rsidR="00C53621" w:rsidRDefault="00C53621" w:rsidP="00C53621">
                            <w:pPr>
                              <w:jc w:val="center"/>
                            </w:pPr>
                            <w:r>
                              <w:t>1</w:t>
                            </w:r>
                          </w:p>
                        </w:txbxContent>
                      </v:textbox>
                    </v:oval>
                  </w:pict>
                </mc:Fallback>
              </mc:AlternateContent>
            </w:r>
            <w:r>
              <w:rPr>
                <w:noProof/>
              </w:rPr>
              <mc:AlternateContent>
                <mc:Choice Requires="wps">
                  <w:drawing>
                    <wp:anchor distT="0" distB="0" distL="114300" distR="114300" simplePos="0" relativeHeight="251661312" behindDoc="0" locked="0" layoutInCell="1" allowOverlap="1" wp14:anchorId="5FA52B38" wp14:editId="5E77DE15">
                      <wp:simplePos x="0" y="0"/>
                      <wp:positionH relativeFrom="column">
                        <wp:posOffset>1915795</wp:posOffset>
                      </wp:positionH>
                      <wp:positionV relativeFrom="paragraph">
                        <wp:posOffset>474345</wp:posOffset>
                      </wp:positionV>
                      <wp:extent cx="179705" cy="179705"/>
                      <wp:effectExtent l="0" t="0" r="10795" b="10795"/>
                      <wp:wrapNone/>
                      <wp:docPr id="13" name="Ellipse 13"/>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A52B38" id="Ellipse 13" o:spid="_x0000_s1028" style="position:absolute;margin-left:150.85pt;margin-top:37.35pt;width:14.15pt;height:1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2</w:t>
                            </w:r>
                          </w:p>
                        </w:txbxContent>
                      </v:textbox>
                    </v:oval>
                  </w:pict>
                </mc:Fallback>
              </mc:AlternateContent>
            </w:r>
            <w:r>
              <w:rPr>
                <w:noProof/>
              </w:rPr>
              <mc:AlternateContent>
                <mc:Choice Requires="wps">
                  <w:drawing>
                    <wp:anchor distT="0" distB="0" distL="114300" distR="114300" simplePos="0" relativeHeight="251663360" behindDoc="0" locked="0" layoutInCell="1" allowOverlap="1" wp14:anchorId="378FA432" wp14:editId="1C9AE077">
                      <wp:simplePos x="0" y="0"/>
                      <wp:positionH relativeFrom="column">
                        <wp:posOffset>1282065</wp:posOffset>
                      </wp:positionH>
                      <wp:positionV relativeFrom="paragraph">
                        <wp:posOffset>812165</wp:posOffset>
                      </wp:positionV>
                      <wp:extent cx="179705" cy="179705"/>
                      <wp:effectExtent l="0" t="0" r="10795" b="10795"/>
                      <wp:wrapNone/>
                      <wp:docPr id="18" name="Ellipse 1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8FA432" id="Ellipse 18" o:spid="_x0000_s1029" style="position:absolute;margin-left:100.95pt;margin-top:63.95pt;width:14.15pt;height:14.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3</w:t>
                            </w:r>
                          </w:p>
                        </w:txbxContent>
                      </v:textbox>
                    </v:oval>
                  </w:pict>
                </mc:Fallback>
              </mc:AlternateContent>
            </w:r>
            <w:r>
              <w:rPr>
                <w:noProof/>
              </w:rPr>
              <w:drawing>
                <wp:inline distT="0" distB="0" distL="0" distR="0" wp14:anchorId="7CA207F3" wp14:editId="6F17E37F">
                  <wp:extent cx="2979861" cy="1939159"/>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85968" cy="1943133"/>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Pr="00D166AC" w:rsidRDefault="00714407" w:rsidP="00D166AC">
            <w:r>
              <w:rPr>
                <w:noProof/>
              </w:rPr>
              <w:drawing>
                <wp:inline distT="0" distB="0" distL="0" distR="0" wp14:anchorId="5E21BD7F" wp14:editId="3835B9AE">
                  <wp:extent cx="2992437" cy="183408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92800" cy="1834307"/>
                          </a:xfrm>
                          <a:prstGeom prst="rect">
                            <a:avLst/>
                          </a:prstGeom>
                        </pic:spPr>
                      </pic:pic>
                    </a:graphicData>
                  </a:graphic>
                </wp:inline>
              </w:drawing>
            </w:r>
          </w:p>
        </w:tc>
        <w:tc>
          <w:tcPr>
            <w:tcW w:w="4491" w:type="dxa"/>
          </w:tcPr>
          <w:p w:rsidR="006D25C0" w:rsidRPr="006D25C0" w:rsidRDefault="007E77C8" w:rsidP="006D25C0">
            <w:pPr>
              <w:pStyle w:val="berschrift3"/>
              <w:outlineLvl w:val="2"/>
            </w:pPr>
            <w:r>
              <w:lastRenderedPageBreak/>
              <w:t>Plantas de mezcla asfáltica móviles del tipo TBA</w:t>
            </w:r>
          </w:p>
          <w:p w:rsidR="00D166AC" w:rsidRDefault="00CE00F6" w:rsidP="00493F01">
            <w:pPr>
              <w:jc w:val="both"/>
              <w:rPr>
                <w:sz w:val="20"/>
              </w:rPr>
            </w:pPr>
            <w:r>
              <w:rPr>
                <w:sz w:val="20"/>
              </w:rPr>
              <w:t>Planta con un mezclador de 4</w:t>
            </w:r>
            <w:r w:rsidR="00B8248C">
              <w:rPr>
                <w:sz w:val="20"/>
              </w:rPr>
              <w:t> </w:t>
            </w:r>
            <w:r>
              <w:rPr>
                <w:sz w:val="20"/>
              </w:rPr>
              <w:t>t, un rendimiento de mezclado de hasta 320</w:t>
            </w:r>
            <w:r w:rsidR="00B8248C">
              <w:rPr>
                <w:sz w:val="20"/>
              </w:rPr>
              <w:t> </w:t>
            </w:r>
            <w:r>
              <w:rPr>
                <w:sz w:val="20"/>
              </w:rPr>
              <w:t>t/h y</w:t>
            </w:r>
            <w:r w:rsidR="00B8248C">
              <w:rPr>
                <w:sz w:val="20"/>
              </w:rPr>
              <w:t> </w:t>
            </w:r>
            <w:r>
              <w:rPr>
                <w:sz w:val="20"/>
              </w:rPr>
              <w:t>un silo de carga de 194</w:t>
            </w:r>
            <w:r w:rsidR="00B8248C">
              <w:rPr>
                <w:sz w:val="20"/>
              </w:rPr>
              <w:t> </w:t>
            </w:r>
            <w:r>
              <w:rPr>
                <w:sz w:val="20"/>
              </w:rPr>
              <w:t>t.</w:t>
            </w: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F631EC" w:rsidRDefault="00F631EC" w:rsidP="001822F7">
            <w:pPr>
              <w:pStyle w:val="berschrift3"/>
              <w:outlineLvl w:val="2"/>
            </w:pPr>
          </w:p>
          <w:p w:rsidR="00F631EC" w:rsidRDefault="00F631EC" w:rsidP="001822F7">
            <w:pPr>
              <w:pStyle w:val="berschrift3"/>
              <w:outlineLvl w:val="2"/>
            </w:pPr>
          </w:p>
          <w:p w:rsidR="00F631EC" w:rsidRDefault="00F631EC" w:rsidP="001822F7">
            <w:pPr>
              <w:pStyle w:val="berschrift3"/>
              <w:outlineLvl w:val="2"/>
            </w:pPr>
          </w:p>
          <w:p w:rsidR="00F631EC" w:rsidRDefault="00F631EC" w:rsidP="00F631EC">
            <w:pPr>
              <w:jc w:val="both"/>
              <w:rPr>
                <w:sz w:val="20"/>
              </w:rPr>
            </w:pPr>
          </w:p>
          <w:p w:rsidR="007E77C8" w:rsidRDefault="007E77C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B8248C" w:rsidRDefault="00B8248C"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Pr="009B0EC1" w:rsidRDefault="000C7C24" w:rsidP="00493F01">
            <w:pPr>
              <w:jc w:val="both"/>
              <w:rPr>
                <w:sz w:val="20"/>
              </w:rPr>
            </w:pPr>
            <w:r>
              <w:rPr>
                <w:sz w:val="20"/>
              </w:rPr>
              <w:lastRenderedPageBreak/>
              <w:t>Tambor de reciclaje en contracorriente con generador de gas caliente</w:t>
            </w:r>
          </w:p>
          <w:p w:rsidR="00FB47F8" w:rsidRPr="009B0EC1" w:rsidRDefault="00FB47F8" w:rsidP="00493F01">
            <w:pPr>
              <w:jc w:val="both"/>
              <w:rPr>
                <w:sz w:val="20"/>
              </w:rPr>
            </w:pPr>
          </w:p>
          <w:p w:rsidR="00FB47F8" w:rsidRPr="009B0EC1" w:rsidRDefault="00411224" w:rsidP="00493F01">
            <w:pPr>
              <w:jc w:val="both"/>
              <w:rPr>
                <w:sz w:val="20"/>
              </w:rPr>
            </w:pPr>
            <w:r>
              <w:rPr>
                <w:sz w:val="20"/>
              </w:rPr>
              <w:t>Funcionamiento</w:t>
            </w:r>
          </w:p>
          <w:p w:rsidR="00411224" w:rsidRPr="009B0EC1" w:rsidRDefault="00411224" w:rsidP="00411224">
            <w:pPr>
              <w:pStyle w:val="Listenabsatz"/>
              <w:numPr>
                <w:ilvl w:val="0"/>
                <w:numId w:val="31"/>
              </w:numPr>
              <w:jc w:val="both"/>
              <w:rPr>
                <w:sz w:val="20"/>
              </w:rPr>
            </w:pPr>
            <w:r>
              <w:rPr>
                <w:sz w:val="20"/>
              </w:rPr>
              <w:t>El quemador dentro del generador de gas caliente calienta el aire de recirculación, incluso en contracorriente</w:t>
            </w:r>
          </w:p>
          <w:p w:rsidR="00411224" w:rsidRPr="009B0EC1" w:rsidRDefault="00411224" w:rsidP="00411224">
            <w:pPr>
              <w:pStyle w:val="Listenabsatz"/>
              <w:jc w:val="both"/>
              <w:rPr>
                <w:sz w:val="20"/>
              </w:rPr>
            </w:pPr>
          </w:p>
          <w:p w:rsidR="00411224" w:rsidRPr="009B0EC1" w:rsidRDefault="00411224" w:rsidP="00411224">
            <w:pPr>
              <w:pStyle w:val="Listenabsatz"/>
              <w:numPr>
                <w:ilvl w:val="0"/>
                <w:numId w:val="31"/>
              </w:numPr>
              <w:jc w:val="both"/>
              <w:rPr>
                <w:sz w:val="20"/>
              </w:rPr>
            </w:pPr>
            <w:r>
              <w:rPr>
                <w:sz w:val="20"/>
              </w:rPr>
              <w:t>Calentamiento indirecto del material de reciclaje en el tambor a través de aire caliente; sin contacto con la llama</w:t>
            </w:r>
          </w:p>
          <w:p w:rsidR="00411224" w:rsidRPr="009B0EC1" w:rsidRDefault="00411224" w:rsidP="00411224">
            <w:pPr>
              <w:jc w:val="both"/>
              <w:rPr>
                <w:sz w:val="20"/>
              </w:rPr>
            </w:pPr>
          </w:p>
          <w:p w:rsidR="00411224" w:rsidRDefault="00411224" w:rsidP="00411224">
            <w:pPr>
              <w:pStyle w:val="Listenabsatz"/>
              <w:numPr>
                <w:ilvl w:val="0"/>
                <w:numId w:val="31"/>
              </w:numPr>
              <w:jc w:val="both"/>
              <w:rPr>
                <w:sz w:val="20"/>
              </w:rPr>
            </w:pPr>
            <w:r>
              <w:rPr>
                <w:sz w:val="20"/>
              </w:rPr>
              <w:t>El material de reciclaje se calienta en contracorriente en el tambor de reciclaje; donde los gases, a su vez, se enfrían</w:t>
            </w:r>
          </w:p>
          <w:p w:rsidR="00411224" w:rsidRPr="00411224" w:rsidRDefault="00411224" w:rsidP="00411224">
            <w:pPr>
              <w:pStyle w:val="Listenabsatz"/>
              <w:rPr>
                <w:sz w:val="20"/>
              </w:rPr>
            </w:pPr>
          </w:p>
          <w:p w:rsidR="00411224" w:rsidRPr="00411224" w:rsidRDefault="00411224" w:rsidP="00411224">
            <w:pPr>
              <w:pStyle w:val="Listenabsatz"/>
              <w:numPr>
                <w:ilvl w:val="0"/>
                <w:numId w:val="31"/>
              </w:numPr>
              <w:jc w:val="both"/>
              <w:rPr>
                <w:sz w:val="20"/>
              </w:rPr>
            </w:pPr>
            <w:r>
              <w:rPr>
                <w:sz w:val="20"/>
              </w:rPr>
              <w:t>El material ya calentado a la temperatura final bien pasa directamente a los silos de almacenamiento o bien al mezclador</w:t>
            </w:r>
          </w:p>
          <w:p w:rsidR="00FB47F8" w:rsidRDefault="00FB47F8" w:rsidP="00493F01">
            <w:pPr>
              <w:jc w:val="both"/>
              <w:rPr>
                <w:sz w:val="20"/>
              </w:rPr>
            </w:pPr>
          </w:p>
          <w:p w:rsidR="00B8248C" w:rsidRDefault="00B8248C" w:rsidP="00493F01">
            <w:pPr>
              <w:jc w:val="both"/>
              <w:rPr>
                <w:sz w:val="20"/>
              </w:rPr>
            </w:pPr>
          </w:p>
          <w:p w:rsidR="00FB47F8" w:rsidRDefault="00FB47F8" w:rsidP="00493F01">
            <w:pPr>
              <w:jc w:val="both"/>
              <w:rPr>
                <w:sz w:val="20"/>
              </w:rPr>
            </w:pPr>
          </w:p>
          <w:p w:rsidR="00714407" w:rsidRPr="00714407" w:rsidRDefault="00714407" w:rsidP="00714407">
            <w:pPr>
              <w:jc w:val="both"/>
              <w:rPr>
                <w:b/>
                <w:sz w:val="20"/>
              </w:rPr>
            </w:pPr>
            <w:r>
              <w:rPr>
                <w:b/>
                <w:sz w:val="20"/>
              </w:rPr>
              <w:t>Aislamiento del generador de gas caliente</w:t>
            </w:r>
          </w:p>
          <w:p w:rsidR="00FB47F8" w:rsidRPr="00493F01" w:rsidRDefault="00714407" w:rsidP="00E770E8">
            <w:pPr>
              <w:jc w:val="both"/>
              <w:rPr>
                <w:sz w:val="20"/>
              </w:rPr>
            </w:pPr>
            <w:r>
              <w:rPr>
                <w:sz w:val="20"/>
              </w:rPr>
              <w:t>El quemador se desplaza sobre su bastidor hacia delante y hacia atrás automáticamente según el estado de funcionamiento. A continuación, el aislamiento se desliza hacia dentro y hacia fuera. Este procedimiento ha sido diseñado específicamente para que después de apagar el proceso de quemado, el quemador no sufra daños. Debido al efecto chimenea y al aumento del aire caliente asociado procedente del tambor de reciclaje, el quemador no estaría protegido. Si el quemador se inicia de nuevo, el aislamiento se repliega y toda la unidad está en posición de funcionamiento.</w:t>
            </w:r>
          </w:p>
        </w:tc>
      </w:tr>
    </w:tbl>
    <w:p w:rsidR="00D166AC" w:rsidRDefault="00D166AC"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631EC" w:rsidRDefault="00F631EC" w:rsidP="00D166AC">
      <w:pPr>
        <w:pStyle w:val="Text"/>
      </w:pPr>
    </w:p>
    <w:p w:rsidR="00F631EC" w:rsidRDefault="00F631EC" w:rsidP="00D166AC">
      <w:pPr>
        <w:pStyle w:val="Text"/>
      </w:pPr>
    </w:p>
    <w:tbl>
      <w:tblPr>
        <w:tblStyle w:val="Basic"/>
        <w:tblW w:w="0" w:type="auto"/>
        <w:tblLook w:val="04A0" w:firstRow="1" w:lastRow="0" w:firstColumn="1" w:lastColumn="0" w:noHBand="0" w:noVBand="1"/>
      </w:tblPr>
      <w:tblGrid>
        <w:gridCol w:w="4790"/>
        <w:gridCol w:w="4734"/>
      </w:tblGrid>
      <w:tr w:rsidR="00D166AC" w:rsidRPr="006D25C0" w:rsidTr="001C39B0">
        <w:trPr>
          <w:cnfStyle w:val="100000000000" w:firstRow="1" w:lastRow="0" w:firstColumn="0" w:lastColumn="0" w:oddVBand="0" w:evenVBand="0" w:oddHBand="0" w:evenHBand="0" w:firstRowFirstColumn="0" w:firstRowLastColumn="0" w:lastRowFirstColumn="0" w:lastRowLastColumn="0"/>
        </w:trPr>
        <w:tc>
          <w:tcPr>
            <w:tcW w:w="4790" w:type="dxa"/>
            <w:tcBorders>
              <w:right w:val="single" w:sz="48" w:space="0" w:color="FFFFFF" w:themeColor="background1"/>
            </w:tcBorders>
          </w:tcPr>
          <w:p w:rsidR="006D25C0" w:rsidRPr="00493F01" w:rsidRDefault="00493F01" w:rsidP="00B8248C">
            <w:pPr>
              <w:pStyle w:val="HeadlineKontakte"/>
              <w:rPr>
                <w:szCs w:val="22"/>
              </w:rPr>
            </w:pPr>
            <w:r>
              <w:rPr>
                <w:caps w:val="0"/>
                <w:szCs w:val="22"/>
              </w:rPr>
              <w:lastRenderedPageBreak/>
              <w:t>Para más información</w:t>
            </w:r>
            <w:r>
              <w:t xml:space="preserve"> </w:t>
            </w:r>
            <w:r w:rsidR="00B8248C">
              <w:br/>
            </w:r>
            <w:r>
              <w:t>consulte:</w:t>
            </w:r>
          </w:p>
          <w:p w:rsidR="006D25C0" w:rsidRPr="00493F01" w:rsidRDefault="006D25C0" w:rsidP="006D25C0">
            <w:pPr>
              <w:pStyle w:val="Text"/>
            </w:pPr>
            <w:r>
              <w:t>BENNINGHOVEN GmbH &amp; Co. KG</w:t>
            </w:r>
          </w:p>
          <w:p w:rsidR="006D25C0" w:rsidRPr="00493F01" w:rsidRDefault="006D25C0" w:rsidP="006D25C0">
            <w:pPr>
              <w:pStyle w:val="Text"/>
            </w:pPr>
            <w:r>
              <w:t>Lars Henrich</w:t>
            </w:r>
          </w:p>
          <w:p w:rsidR="006D25C0" w:rsidRPr="006D25C0" w:rsidRDefault="00B239CB" w:rsidP="006D25C0">
            <w:pPr>
              <w:pStyle w:val="Text"/>
            </w:pPr>
            <w:r>
              <w:t>Benninghovenstraße 1</w:t>
            </w:r>
          </w:p>
          <w:p w:rsidR="006D25C0" w:rsidRPr="006D25C0" w:rsidRDefault="006D25C0" w:rsidP="006D25C0">
            <w:pPr>
              <w:pStyle w:val="Text"/>
            </w:pPr>
            <w:r>
              <w:t>54516 Wittlich</w:t>
            </w:r>
          </w:p>
          <w:p w:rsidR="006D25C0" w:rsidRPr="006D25C0" w:rsidRDefault="006D25C0" w:rsidP="006D25C0">
            <w:pPr>
              <w:pStyle w:val="Text"/>
            </w:pPr>
            <w:r>
              <w:t>Alemania</w:t>
            </w:r>
          </w:p>
          <w:p w:rsidR="006D25C0" w:rsidRPr="006D25C0" w:rsidRDefault="006D25C0" w:rsidP="006D25C0">
            <w:pPr>
              <w:pStyle w:val="Text"/>
            </w:pPr>
          </w:p>
          <w:p w:rsidR="006D25C0" w:rsidRPr="006D25C0" w:rsidRDefault="006D25C0" w:rsidP="00245BB1">
            <w:pPr>
              <w:pStyle w:val="Text"/>
              <w:tabs>
                <w:tab w:val="left" w:pos="1134"/>
              </w:tabs>
            </w:pPr>
            <w:r>
              <w:t>Teléfono:</w:t>
            </w:r>
            <w:r w:rsidR="00245BB1">
              <w:tab/>
            </w:r>
            <w:r>
              <w:t>+49 6571 6978-5117</w:t>
            </w:r>
          </w:p>
          <w:p w:rsidR="006D25C0" w:rsidRPr="006D25C0" w:rsidRDefault="006D25C0" w:rsidP="00245BB1">
            <w:pPr>
              <w:pStyle w:val="Text"/>
              <w:tabs>
                <w:tab w:val="left" w:pos="1134"/>
              </w:tabs>
            </w:pPr>
            <w:r>
              <w:t>Fax:</w:t>
            </w:r>
            <w:r w:rsidR="00245BB1">
              <w:tab/>
            </w:r>
            <w:r>
              <w:t>+49 6571 6978-8020</w:t>
            </w:r>
          </w:p>
          <w:p w:rsidR="006D25C0" w:rsidRPr="00245BB1" w:rsidRDefault="006D25C0" w:rsidP="006D25C0">
            <w:pPr>
              <w:pStyle w:val="Text"/>
              <w:rPr>
                <w:spacing w:val="-6"/>
              </w:rPr>
            </w:pPr>
            <w:r w:rsidRPr="00245BB1">
              <w:rPr>
                <w:spacing w:val="-6"/>
              </w:rPr>
              <w:t>Correo electrónico: info@benninghoven.com</w:t>
            </w:r>
          </w:p>
          <w:p w:rsidR="00D166AC" w:rsidRPr="006D25C0" w:rsidRDefault="006D25C0" w:rsidP="006D25C0">
            <w:pPr>
              <w:pStyle w:val="Text"/>
            </w:pPr>
            <w:r>
              <w:t>www.benninghoven.com</w:t>
            </w:r>
          </w:p>
        </w:tc>
        <w:tc>
          <w:tcPr>
            <w:tcW w:w="4734" w:type="dxa"/>
            <w:tcBorders>
              <w:left w:val="single" w:sz="48" w:space="0" w:color="FFFFFF" w:themeColor="background1"/>
            </w:tcBorders>
          </w:tcPr>
          <w:p w:rsidR="0034191A" w:rsidRPr="006D25C0" w:rsidRDefault="0034191A" w:rsidP="006D25C0">
            <w:pPr>
              <w:pStyle w:val="Text"/>
            </w:pPr>
          </w:p>
        </w:tc>
      </w:tr>
    </w:tbl>
    <w:p w:rsidR="00D166AC" w:rsidRPr="00D166AC" w:rsidRDefault="00D166AC" w:rsidP="00D166AC">
      <w:pPr>
        <w:pStyle w:val="Text"/>
      </w:pPr>
    </w:p>
    <w:sectPr w:rsidR="00D166AC" w:rsidRPr="00D166AC" w:rsidSect="003A753A">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1F45" w:rsidRDefault="00551F45" w:rsidP="00E55534">
      <w:r>
        <w:separator/>
      </w:r>
    </w:p>
  </w:endnote>
  <w:endnote w:type="continuationSeparator" w:id="0">
    <w:p w:rsidR="00551F45" w:rsidRDefault="00551F4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6217"/>
      <w:tblW w:w="0" w:type="auto"/>
      <w:tblLayout w:type="fixed"/>
      <w:tblLook w:val="04A0" w:firstRow="1" w:lastRow="0" w:firstColumn="1" w:lastColumn="0" w:noHBand="0" w:noVBand="1"/>
    </w:tblPr>
    <w:tblGrid>
      <w:gridCol w:w="8364"/>
      <w:gridCol w:w="1160"/>
    </w:tblGrid>
    <w:sdt>
      <w:sdtPr>
        <w:rPr>
          <w:szCs w:val="16"/>
        </w:rPr>
        <w:id w:val="-214889975"/>
        <w:lock w:val="sdtContentLocked"/>
      </w:sdtPr>
      <w:sdtEndPr/>
      <w:sdtContent>
        <w:tr w:rsidR="00A171F4" w:rsidRPr="008C2DB2" w:rsidTr="0012026F">
          <w:trPr>
            <w:cnfStyle w:val="100000000000" w:firstRow="1" w:lastRow="0" w:firstColumn="0" w:lastColumn="0" w:oddVBand="0" w:evenVBand="0" w:oddHBand="0" w:evenHBand="0" w:firstRowFirstColumn="0" w:firstRowLastColumn="0" w:lastRowFirstColumn="0" w:lastRowLastColumn="0"/>
            <w:trHeight w:hRule="exact" w:val="227"/>
          </w:trPr>
          <w:sdt>
            <w:sdtPr>
              <w:rPr>
                <w:szCs w:val="16"/>
              </w:rPr>
              <w:id w:val="1167366250"/>
              <w:showingPlcHdr/>
            </w:sdtPr>
            <w:sdtEndPr>
              <w:rPr>
                <w:szCs w:val="20"/>
              </w:rPr>
            </w:sdtEndPr>
            <w:sdtContent>
              <w:tc>
                <w:tcPr>
                  <w:tcW w:w="8364" w:type="dxa"/>
                </w:tcPr>
                <w:p w:rsidR="00A171F4" w:rsidRPr="008C2DB2" w:rsidRDefault="00A171F4" w:rsidP="005711A3">
                  <w:pPr>
                    <w:pStyle w:val="Kolumnentitel"/>
                  </w:pPr>
                  <w:r>
                    <w:rPr>
                      <w:rStyle w:val="Platzhaltertext"/>
                    </w:rPr>
                    <w:t xml:space="preserve">     </w:t>
                  </w:r>
                </w:p>
              </w:tc>
            </w:sdtContent>
          </w:sdt>
          <w:tc>
            <w:tcPr>
              <w:tcW w:w="1160" w:type="dxa"/>
            </w:tcPr>
            <w:sdt>
              <w:sdtPr>
                <w:id w:val="-1133938393"/>
              </w:sdtPr>
              <w:sdtEndPr/>
              <w:sdtContent>
                <w:p w:rsidR="00A171F4" w:rsidRPr="008C2DB2" w:rsidRDefault="00A171F4" w:rsidP="0012026F">
                  <w:pPr>
                    <w:pStyle w:val="Seitenzahlen"/>
                  </w:pPr>
                  <w:r w:rsidRPr="008C2DB2">
                    <w:fldChar w:fldCharType="begin"/>
                  </w:r>
                  <w:r>
                    <w:instrText xml:space="preserve"> </w:instrText>
                  </w:r>
                  <w:r w:rsidRPr="008C2DB2">
                    <w:instrText>PAGE \# "00"</w:instrText>
                  </w:r>
                  <w:r w:rsidRPr="008C2DB2">
                    <w:fldChar w:fldCharType="separate"/>
                  </w:r>
                  <w:r w:rsidR="000C7C24">
                    <w:rPr>
                      <w:noProof/>
                    </w:rPr>
                    <w:t>01</w:t>
                  </w:r>
                  <w:r w:rsidRPr="008C2DB2">
                    <w:fldChar w:fldCharType="end"/>
                  </w:r>
                </w:p>
              </w:sdtContent>
            </w:sdt>
          </w:tc>
        </w:tr>
      </w:sdtContent>
    </w:sdt>
  </w:tbl>
  <w:sdt>
    <w:sdtPr>
      <w:id w:val="-95864226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70528" behindDoc="0" locked="0" layoutInCell="1" allowOverlap="1" wp14:anchorId="3E35EFF8" wp14:editId="3643C7F3">
                  <wp:simplePos x="0" y="0"/>
                  <wp:positionH relativeFrom="page">
                    <wp:posOffset>756285</wp:posOffset>
                  </wp:positionH>
                  <wp:positionV relativeFrom="page">
                    <wp:posOffset>10189210</wp:posOffset>
                  </wp:positionV>
                  <wp:extent cx="6048000" cy="18000"/>
                  <wp:effectExtent l="0" t="0" r="0" b="1270"/>
                  <wp:wrapNone/>
                  <wp:docPr id="12" name="Rechteck 12"/>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CCCD711" id="Rechteck 12" o:spid="_x0000_s1026" style="position:absolute;margin-left:59.55pt;margin-top:802.3pt;width:476.2pt;height:1.4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" fillcolor="#0062a7 [3215]" stroked="f" strokeweight="2pt">
                  <w10:wrap anchorx="page" anchory="page"/>
                </v:rect>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5934"/>
      <w:tblOverlap w:val="never"/>
      <w:tblW w:w="0" w:type="auto"/>
      <w:tblLook w:val="04A0" w:firstRow="1" w:lastRow="0" w:firstColumn="1" w:lastColumn="0" w:noHBand="0" w:noVBand="1"/>
    </w:tblPr>
    <w:tblGrid>
      <w:gridCol w:w="9524"/>
    </w:tblGrid>
    <w:sdt>
      <w:sdtPr>
        <w:rPr>
          <w:rStyle w:val="Hervorhebung"/>
          <w:szCs w:val="16"/>
        </w:rPr>
        <w:id w:val="-2088915428"/>
        <w:lock w:val="sdtContentLocked"/>
      </w:sdtPr>
      <w:sdtEndPr>
        <w:rPr>
          <w:rStyle w:val="Absatz-Standardschriftart"/>
          <w:b w:val="0"/>
          <w:iCs w:val="0"/>
        </w:rPr>
      </w:sdtEndPr>
      <w:sdtContent>
        <w:tr w:rsidR="00A171F4" w:rsidTr="0012026F">
          <w:trPr>
            <w:cnfStyle w:val="100000000000" w:firstRow="1" w:lastRow="0" w:firstColumn="0" w:lastColumn="0" w:oddVBand="0" w:evenVBand="0" w:oddHBand="0" w:evenHBand="0" w:firstRowFirstColumn="0" w:firstRowLastColumn="0" w:lastRowFirstColumn="0" w:lastRowLastColumn="0"/>
          </w:trPr>
          <w:tc>
            <w:tcPr>
              <w:tcW w:w="9664" w:type="dxa"/>
            </w:tcPr>
            <w:p w:rsidR="00A171F4" w:rsidRDefault="00A171F4" w:rsidP="0012026F">
              <w:pPr>
                <w:pStyle w:val="Fuzeile"/>
                <w:spacing w:before="96" w:after="96"/>
              </w:pPr>
              <w:r w:rsidRPr="003E1CB6">
                <w:rPr>
                  <w:rStyle w:val="Hervorhebung"/>
                </w:rPr>
                <w:t>WIRTGEN GmbH</w:t>
              </w:r>
              <w:r w:rsidRPr="00CF36C9">
                <w:t xml:space="preserve"> · Reinhard-Wirtgen-Str. 2 · D-53578 Windhagen · T: +49 26 45 / 131 0</w:t>
              </w:r>
            </w:p>
          </w:tc>
        </w:tr>
      </w:sdtContent>
    </w:sdt>
  </w:tbl>
  <w:sdt>
    <w:sdtPr>
      <w:id w:val="-194475262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62336" behindDoc="0" locked="0" layoutInCell="1" allowOverlap="1" wp14:anchorId="57157764" wp14:editId="6D92112A">
                  <wp:simplePos x="0" y="0"/>
                  <wp:positionH relativeFrom="page">
                    <wp:posOffset>756285</wp:posOffset>
                  </wp:positionH>
                  <wp:positionV relativeFrom="page">
                    <wp:posOffset>10081260</wp:posOffset>
                  </wp:positionV>
                  <wp:extent cx="6048000" cy="18000"/>
                  <wp:effectExtent l="0" t="0" r="0" b="1270"/>
                  <wp:wrapNone/>
                  <wp:docPr id="6" name="Rechteck 6"/>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608DEF" id="Rechteck 6" o:spid="_x0000_s1026" style="position:absolute;margin-left:59.55pt;margin-top:793.8pt;width:476.2pt;height:1.4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" fillcolor="#0062a7 [3215]" stroked="f" strokeweight="2pt">
                  <w10:wrap anchorx="page" anchory="page"/>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1F45" w:rsidRDefault="00551F45" w:rsidP="00E55534">
      <w:r>
        <w:separator/>
      </w:r>
    </w:p>
  </w:footnote>
  <w:footnote w:type="continuationSeparator" w:id="0">
    <w:p w:rsidR="00551F45" w:rsidRDefault="00551F4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4"/>
      </w:rPr>
      <w:id w:val="1105004567"/>
      <w:lock w:val="sdtContentLocked"/>
    </w:sdtPr>
    <w:sdtEndPr/>
    <w:sdtContent>
      <w:p w:rsidR="00A171F4" w:rsidRPr="002E765F" w:rsidRDefault="006D25C0">
        <w:pPr>
          <w:pStyle w:val="Kopfzeile"/>
          <w:rPr>
            <w:noProof/>
            <w:sz w:val="14"/>
            <w:lang w:eastAsia="de-DE"/>
          </w:rPr>
        </w:pPr>
        <w:r>
          <w:rPr>
            <w:noProof/>
            <w:lang w:eastAsia="de-DE"/>
          </w:rPr>
          <w:drawing>
            <wp:anchor distT="0" distB="0" distL="114300" distR="114300" simplePos="0" relativeHeight="251672576" behindDoc="0" locked="0" layoutInCell="1" allowOverlap="1" wp14:anchorId="1AD37280" wp14:editId="3CDC4CA7">
              <wp:simplePos x="0" y="0"/>
              <wp:positionH relativeFrom="page">
                <wp:posOffset>756285</wp:posOffset>
              </wp:positionH>
              <wp:positionV relativeFrom="page">
                <wp:posOffset>288290</wp:posOffset>
              </wp:positionV>
              <wp:extent cx="2574000" cy="28800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74000" cy="288000"/>
                      </a:xfrm>
                      <a:prstGeom prst="rect">
                        <a:avLst/>
                      </a:prstGeom>
                    </pic:spPr>
                  </pic:pic>
                </a:graphicData>
              </a:graphic>
              <wp14:sizeRelH relativeFrom="margin">
                <wp14:pctWidth>0</wp14:pctWidth>
              </wp14:sizeRelH>
              <wp14:sizeRelV relativeFrom="margin">
                <wp14:pctHeight>0</wp14:pctHeight>
              </wp14:sizeRelV>
            </wp:anchor>
          </w:drawing>
        </w:r>
      </w:p>
      <w:tbl>
        <w:tblPr>
          <w:tblStyle w:val="Basic"/>
          <w:tblpPr w:vertAnchor="page" w:horzAnchor="page" w:tblpX="7287" w:tblpY="1379"/>
          <w:tblW w:w="0" w:type="auto"/>
          <w:tblLayout w:type="fixed"/>
          <w:tblLook w:val="04A0" w:firstRow="1" w:lastRow="0" w:firstColumn="1" w:lastColumn="0" w:noHBand="0" w:noVBand="1"/>
        </w:tblPr>
        <w:tblGrid>
          <w:gridCol w:w="3439"/>
        </w:tblGrid>
        <w:tr w:rsidR="00A171F4" w:rsidRPr="002E765F" w:rsidTr="00D166AC">
          <w:trPr>
            <w:cnfStyle w:val="100000000000" w:firstRow="1" w:lastRow="0" w:firstColumn="0" w:lastColumn="0" w:oddVBand="0" w:evenVBand="0" w:oddHBand="0" w:evenHBand="0" w:firstRowFirstColumn="0" w:firstRowLastColumn="0" w:lastRowFirstColumn="0" w:lastRowLastColumn="0"/>
            <w:trHeight w:hRule="exact" w:val="510"/>
          </w:trPr>
          <w:tc>
            <w:tcPr>
              <w:tcW w:w="3439" w:type="dxa"/>
            </w:tcPr>
            <w:p w:rsidR="00A171F4" w:rsidRPr="002E765F" w:rsidRDefault="00A171F4" w:rsidP="00D166AC">
              <w:pPr>
                <w:pStyle w:val="Titel"/>
                <w:jc w:val="right"/>
                <w:rPr>
                  <w:sz w:val="32"/>
                  <w:szCs w:val="34"/>
                </w:rPr>
              </w:pPr>
              <w:r w:rsidRPr="002E765F">
                <w:rPr>
                  <w:sz w:val="32"/>
                  <w:szCs w:val="34"/>
                </w:rPr>
                <w:t>PRESS</w:t>
              </w:r>
              <w:r>
                <w:rPr>
                  <w:sz w:val="32"/>
                  <w:szCs w:val="34"/>
                </w:rPr>
                <w:t xml:space="preserve"> </w:t>
              </w:r>
              <w:r w:rsidRPr="002E765F">
                <w:rPr>
                  <w:sz w:val="6"/>
                  <w:szCs w:val="2"/>
                </w:rPr>
                <w:t xml:space="preserve"> </w:t>
              </w:r>
              <w:r>
                <w:rPr>
                  <w:sz w:val="32"/>
                  <w:szCs w:val="34"/>
                </w:rPr>
                <w:t>R</w:t>
              </w:r>
              <w:r w:rsidRPr="002E765F">
                <w:rPr>
                  <w:sz w:val="32"/>
                  <w:szCs w:val="34"/>
                </w:rPr>
                <w:t>ELEASE</w:t>
              </w:r>
            </w:p>
          </w:tc>
        </w:tr>
      </w:tbl>
      <w:p w:rsidR="00A171F4" w:rsidRPr="002E765F" w:rsidRDefault="00A171F4">
        <w:pPr>
          <w:pStyle w:val="Kopfzeile"/>
          <w:rPr>
            <w:sz w:val="14"/>
          </w:rPr>
        </w:pPr>
        <w:r w:rsidRPr="002E765F">
          <w:rPr>
            <w:noProof/>
            <w:sz w:val="14"/>
            <w:lang w:eastAsia="de-DE"/>
          </w:rPr>
          <w:drawing>
            <wp:anchor distT="0" distB="0" distL="114300" distR="114300" simplePos="0" relativeHeight="251666432" behindDoc="0" locked="0" layoutInCell="1" allowOverlap="1" wp14:anchorId="6A756653" wp14:editId="34E37F2E">
              <wp:simplePos x="0" y="0"/>
              <wp:positionH relativeFrom="page">
                <wp:posOffset>5443855</wp:posOffset>
              </wp:positionH>
              <wp:positionV relativeFrom="page">
                <wp:posOffset>323850</wp:posOffset>
              </wp:positionV>
              <wp:extent cx="1360800" cy="64800"/>
              <wp:effectExtent l="0" t="0" r="0"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360800" cy="64800"/>
                      </a:xfrm>
                      <a:prstGeom prst="rect">
                        <a:avLst/>
                      </a:prstGeom>
                    </pic:spPr>
                  </pic:pic>
                </a:graphicData>
              </a:graphic>
              <wp14:sizeRelH relativeFrom="margin">
                <wp14:pctWidth>0</wp14:pctWidth>
              </wp14:sizeRelH>
              <wp14:sizeRelV relativeFrom="margin">
                <wp14:pctHeight>0</wp14:pctHeight>
              </wp14:sizeRelV>
            </wp:anchor>
          </w:drawing>
        </w:r>
        <w:r w:rsidRPr="002E765F">
          <w:rPr>
            <w:noProof/>
            <w:sz w:val="14"/>
            <w:lang w:eastAsia="de-DE"/>
          </w:rPr>
          <mc:AlternateContent>
            <mc:Choice Requires="wps">
              <w:drawing>
                <wp:anchor distT="0" distB="0" distL="114300" distR="114300" simplePos="0" relativeHeight="251668480" behindDoc="0" locked="0" layoutInCell="1" allowOverlap="1" wp14:anchorId="1692D950" wp14:editId="1AA77E1F">
                  <wp:simplePos x="0" y="0"/>
                  <wp:positionH relativeFrom="page">
                    <wp:posOffset>756285</wp:posOffset>
                  </wp:positionH>
                  <wp:positionV relativeFrom="page">
                    <wp:posOffset>702310</wp:posOffset>
                  </wp:positionV>
                  <wp:extent cx="6048000" cy="36000"/>
                  <wp:effectExtent l="0" t="0" r="0" b="2540"/>
                  <wp:wrapNone/>
                  <wp:docPr id="11" name="Rechteck 11"/>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C7CFAF" id="Rechteck 11" o:spid="_x0000_s1026" style="position:absolute;margin-left:59.55pt;margin-top:55.3pt;width:476.2pt;height:2.8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" fillcolor="#0062a7 [3215]" stroked="f" strokeweight="2pt">
                  <w10:wrap anchorx="page" anchory="page"/>
                </v:rect>
              </w:pict>
            </mc:Fallback>
          </mc:AlternateConten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80274487"/>
      <w:lock w:val="sdtContentLocked"/>
    </w:sdtPr>
    <w:sdtEndPr/>
    <w:sdtContent>
      <w:p w:rsidR="00A171F4" w:rsidRDefault="00A171F4">
        <w:pPr>
          <w:pStyle w:val="Kopfzeile"/>
        </w:pPr>
        <w:r>
          <w:rPr>
            <w:noProof/>
            <w:lang w:eastAsia="de-DE"/>
          </w:rPr>
          <mc:AlternateContent>
            <mc:Choice Requires="wps">
              <w:drawing>
                <wp:anchor distT="0" distB="0" distL="114300" distR="114300" simplePos="0" relativeHeight="251660288" behindDoc="0" locked="0" layoutInCell="1" allowOverlap="1" wp14:anchorId="615A7A5C" wp14:editId="67150764">
                  <wp:simplePos x="0" y="0"/>
                  <wp:positionH relativeFrom="page">
                    <wp:posOffset>756285</wp:posOffset>
                  </wp:positionH>
                  <wp:positionV relativeFrom="page">
                    <wp:posOffset>935990</wp:posOffset>
                  </wp:positionV>
                  <wp:extent cx="6048000" cy="36000"/>
                  <wp:effectExtent l="0" t="0" r="0" b="2540"/>
                  <wp:wrapNone/>
                  <wp:docPr id="5" name="Rechteck 5"/>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2471BE" id="Rechteck 5" o:spid="_x0000_s1026" style="position:absolute;margin-left:59.55pt;margin-top:73.7pt;width:476.2pt;height:2.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" fillcolor="#0062a7 [3215]" stroked="f" strokeweight="2pt">
                  <w10:wrap anchorx="page" anchory="page"/>
                </v:rect>
              </w:pict>
            </mc:Fallback>
          </mc:AlternateContent>
        </w:r>
        <w:r>
          <w:rPr>
            <w:noProof/>
            <w:lang w:eastAsia="de-DE"/>
          </w:rPr>
          <w:drawing>
            <wp:anchor distT="0" distB="0" distL="114300" distR="114300" simplePos="0" relativeHeight="251659264" behindDoc="0" locked="0" layoutInCell="1" allowOverlap="1" wp14:anchorId="2CC97DB7" wp14:editId="48E8AF05">
              <wp:simplePos x="0" y="0"/>
              <wp:positionH relativeFrom="page">
                <wp:posOffset>5328920</wp:posOffset>
              </wp:positionH>
              <wp:positionV relativeFrom="page">
                <wp:posOffset>421005</wp:posOffset>
              </wp:positionV>
              <wp:extent cx="1476000" cy="7920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76000" cy="7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8240" behindDoc="0" locked="0" layoutInCell="1" allowOverlap="1" wp14:anchorId="218F2EFB" wp14:editId="0D0A16B3">
              <wp:simplePos x="0" y="0"/>
              <wp:positionH relativeFrom="page">
                <wp:posOffset>756285</wp:posOffset>
              </wp:positionH>
              <wp:positionV relativeFrom="page">
                <wp:posOffset>360045</wp:posOffset>
              </wp:positionV>
              <wp:extent cx="3290400" cy="360000"/>
              <wp:effectExtent l="0" t="0" r="0" b="254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3290400" cy="360000"/>
                      </a:xfrm>
                      <a:prstGeom prst="rect">
                        <a:avLst/>
                      </a:prstGeom>
                    </pic:spPr>
                  </pic:pic>
                </a:graphicData>
              </a:graphic>
              <wp14:sizeRelH relativeFrom="margin">
                <wp14:pctWidth>0</wp14:pctWidth>
              </wp14:sizeRelH>
              <wp14:sizeRelV relativeFrom="margin">
                <wp14:pctHeight>0</wp14:pctHeight>
              </wp14:sizeRelV>
            </wp:anchor>
          </w:drawing>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500.75pt;height:1500.75pt" o:bullet="t">
        <v:imagedata r:id="rId1" o:title="AZ_04a"/>
      </v:shape>
    </w:pict>
  </w:numPicBullet>
  <w:numPicBullet w:numPicBulletId="1">
    <w:pict>
      <v:shape id="_x0000_i1038" type="#_x0000_t75" style="width:7.5pt;height:7.5pt" o:bullet="t">
        <v:imagedata r:id="rId2" o:title="aufzählung"/>
      </v:shape>
    </w:pict>
  </w:numPicBullet>
  <w:numPicBullet w:numPicBulletId="2">
    <w:pict>
      <v:shape id="_x0000_i1039" type="#_x0000_t75" style="width:12pt;height:12pt" o:bullet="t">
        <v:imagedata r:id="rId3" o:title="Pfeil_Benninghoven"/>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Theme="minorHAnsi" w:hAnsiTheme="minorHAnsi" w:hint="default"/>
        <w:sz w:val="36"/>
      </w:rPr>
    </w:lvl>
    <w:lvl w:ilvl="1">
      <w:start w:val="1"/>
      <w:numFmt w:val="decimal"/>
      <w:lvlText w:val="%1.%2."/>
      <w:lvlJc w:val="left"/>
      <w:pPr>
        <w:tabs>
          <w:tab w:val="num" w:pos="510"/>
        </w:tabs>
        <w:ind w:left="510" w:hanging="510"/>
      </w:pPr>
      <w:rPr>
        <w:rFonts w:asciiTheme="minorHAnsi" w:hAnsiTheme="minorHAnsi" w:hint="default"/>
        <w:sz w:val="26"/>
      </w:rPr>
    </w:lvl>
    <w:lvl w:ilvl="2">
      <w:start w:val="1"/>
      <w:numFmt w:val="decimal"/>
      <w:lvlText w:val="%1.%2.%3"/>
      <w:lvlJc w:val="left"/>
      <w:pPr>
        <w:tabs>
          <w:tab w:val="num" w:pos="680"/>
        </w:tabs>
        <w:ind w:left="680" w:hanging="680"/>
      </w:pPr>
      <w:rPr>
        <w:rFonts w:asciiTheme="minorHAnsi" w:hAnsiTheme="minorHAnsi" w:hint="default"/>
        <w:sz w:val="22"/>
      </w:rPr>
    </w:lvl>
    <w:lvl w:ilvl="3">
      <w:start w:val="1"/>
      <w:numFmt w:val="decimal"/>
      <w:lvlText w:val="%1.%2.%3.%4."/>
      <w:lvlJc w:val="left"/>
      <w:pPr>
        <w:tabs>
          <w:tab w:val="num" w:pos="851"/>
        </w:tabs>
        <w:ind w:left="851" w:hanging="851"/>
      </w:pPr>
      <w:rPr>
        <w:rFonts w:asciiTheme="minorHAnsi" w:hAnsiTheme="minorHAnsi"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9B32D29"/>
    <w:multiLevelType w:val="hybridMultilevel"/>
    <w:tmpl w:val="583EC39C"/>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490E14"/>
    <w:multiLevelType w:val="hybridMultilevel"/>
    <w:tmpl w:val="8F1C934C"/>
    <w:lvl w:ilvl="0" w:tplc="4D529B9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4F46ADD"/>
    <w:multiLevelType w:val="multilevel"/>
    <w:tmpl w:val="B1A82EFC"/>
    <w:numStyleLink w:val="zzzThemen"/>
  </w:abstractNum>
  <w:abstractNum w:abstractNumId="6" w15:restartNumberingAfterBreak="0">
    <w:nsid w:val="2B8D7562"/>
    <w:multiLevelType w:val="hybridMultilevel"/>
    <w:tmpl w:val="1388A60E"/>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39218AE"/>
    <w:multiLevelType w:val="hybridMultilevel"/>
    <w:tmpl w:val="95AA2B98"/>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0C7E83"/>
    <w:multiLevelType w:val="multilevel"/>
    <w:tmpl w:val="AA5ADA32"/>
    <w:lvl w:ilvl="0">
      <w:start w:val="1"/>
      <w:numFmt w:val="decimal"/>
      <w:lvlText w:val="%1"/>
      <w:lvlJc w:val="left"/>
      <w:pPr>
        <w:tabs>
          <w:tab w:val="num" w:pos="425"/>
        </w:tabs>
        <w:ind w:left="0" w:firstLine="0"/>
      </w:pPr>
      <w:rPr>
        <w:rFonts w:asciiTheme="minorHAnsi" w:hAnsiTheme="minorHAnsi" w:hint="default"/>
        <w:sz w:val="32"/>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440A6F14"/>
    <w:multiLevelType w:val="hybridMultilevel"/>
    <w:tmpl w:val="67F23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Theme="minorHAnsi" w:hAnsiTheme="minorHAnsi" w:hint="default"/>
        <w:sz w:val="16"/>
      </w:rPr>
    </w:lvl>
    <w:lvl w:ilvl="1">
      <w:start w:val="1"/>
      <w:numFmt w:val="none"/>
      <w:lvlRestart w:val="0"/>
      <w:lvlText w:val="%1."/>
      <w:lvlJc w:val="left"/>
      <w:pPr>
        <w:tabs>
          <w:tab w:val="num" w:pos="284"/>
        </w:tabs>
        <w:ind w:left="284" w:hanging="284"/>
      </w:pPr>
      <w:rPr>
        <w:rFonts w:asciiTheme="minorHAnsi" w:hAnsiTheme="minorHAnsi"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5B8C5DFE"/>
    <w:multiLevelType w:val="hybridMultilevel"/>
    <w:tmpl w:val="2E249A70"/>
    <w:lvl w:ilvl="0" w:tplc="B316C18E">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Theme="minorHAnsi" w:hAnsiTheme="minorHAnsi" w:hint="default"/>
        <w:b/>
        <w:i w:val="0"/>
        <w:sz w:val="22"/>
      </w:rPr>
    </w:lvl>
    <w:lvl w:ilvl="1">
      <w:start w:val="1"/>
      <w:numFmt w:val="decimal"/>
      <w:lvlText w:val="%1.%2"/>
      <w:lvlJc w:val="left"/>
      <w:pPr>
        <w:tabs>
          <w:tab w:val="num" w:pos="567"/>
        </w:tabs>
        <w:ind w:left="567" w:hanging="567"/>
      </w:pPr>
      <w:rPr>
        <w:rFonts w:asciiTheme="minorHAnsi" w:hAnsiTheme="minorHAnsi" w:hint="default"/>
        <w:b/>
        <w:i w:val="0"/>
        <w:sz w:val="19"/>
      </w:rPr>
    </w:lvl>
    <w:lvl w:ilvl="2">
      <w:start w:val="1"/>
      <w:numFmt w:val="decimal"/>
      <w:lvlText w:val="%1.%2.%3"/>
      <w:lvlJc w:val="left"/>
      <w:pPr>
        <w:tabs>
          <w:tab w:val="num" w:pos="567"/>
        </w:tabs>
        <w:ind w:left="567" w:hanging="567"/>
      </w:pPr>
      <w:rPr>
        <w:rFonts w:asciiTheme="minorHAnsi" w:hAnsiTheme="minorHAnsi"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7FEA0A23"/>
    <w:multiLevelType w:val="multilevel"/>
    <w:tmpl w:val="CD7452BA"/>
    <w:lvl w:ilvl="0">
      <w:start w:val="1"/>
      <w:numFmt w:val="decimal"/>
      <w:lvlText w:val="%1"/>
      <w:lvlJc w:val="left"/>
      <w:pPr>
        <w:tabs>
          <w:tab w:val="num" w:pos="284"/>
        </w:tabs>
        <w:ind w:left="0" w:firstLine="0"/>
      </w:pPr>
      <w:rPr>
        <w:rFonts w:asciiTheme="majorHAnsi" w:hAnsiTheme="majorHAnsi" w:hint="default"/>
        <w:sz w:val="20"/>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4"/>
  </w:num>
  <w:num w:numId="2">
    <w:abstractNumId w:val="14"/>
  </w:num>
  <w:num w:numId="3">
    <w:abstractNumId w:val="14"/>
  </w:num>
  <w:num w:numId="4">
    <w:abstractNumId w:val="14"/>
  </w:num>
  <w:num w:numId="5">
    <w:abstractNumId w:val="14"/>
  </w:num>
  <w:num w:numId="6">
    <w:abstractNumId w:val="2"/>
  </w:num>
  <w:num w:numId="7">
    <w:abstractNumId w:val="2"/>
  </w:num>
  <w:num w:numId="8">
    <w:abstractNumId w:val="2"/>
  </w:num>
  <w:num w:numId="9">
    <w:abstractNumId w:val="2"/>
  </w:num>
  <w:num w:numId="10">
    <w:abstractNumId w:val="2"/>
  </w:num>
  <w:num w:numId="11">
    <w:abstractNumId w:val="10"/>
  </w:num>
  <w:num w:numId="12">
    <w:abstractNumId w:val="10"/>
  </w:num>
  <w:num w:numId="13">
    <w:abstractNumId w:val="8"/>
  </w:num>
  <w:num w:numId="14">
    <w:abstractNumId w:val="8"/>
  </w:num>
  <w:num w:numId="15">
    <w:abstractNumId w:val="8"/>
  </w:num>
  <w:num w:numId="16">
    <w:abstractNumId w:val="8"/>
  </w:num>
  <w:num w:numId="17">
    <w:abstractNumId w:val="8"/>
  </w:num>
  <w:num w:numId="18">
    <w:abstractNumId w:val="1"/>
  </w:num>
  <w:num w:numId="19">
    <w:abstractNumId w:val="5"/>
  </w:num>
  <w:num w:numId="20">
    <w:abstractNumId w:val="13"/>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9"/>
  </w:num>
  <w:num w:numId="28">
    <w:abstractNumId w:val="12"/>
  </w:num>
  <w:num w:numId="29">
    <w:abstractNumId w:val="6"/>
  </w:num>
  <w:num w:numId="30">
    <w:abstractNumId w:val="7"/>
  </w:num>
  <w:num w:numId="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1F45"/>
    <w:rsid w:val="00042106"/>
    <w:rsid w:val="0005285B"/>
    <w:rsid w:val="00066D09"/>
    <w:rsid w:val="00071AAD"/>
    <w:rsid w:val="0009665C"/>
    <w:rsid w:val="000C7C24"/>
    <w:rsid w:val="00103205"/>
    <w:rsid w:val="0012026F"/>
    <w:rsid w:val="00132055"/>
    <w:rsid w:val="00147E7D"/>
    <w:rsid w:val="00157729"/>
    <w:rsid w:val="001804E7"/>
    <w:rsid w:val="001822F7"/>
    <w:rsid w:val="00186281"/>
    <w:rsid w:val="00187006"/>
    <w:rsid w:val="001A1F24"/>
    <w:rsid w:val="001B16BB"/>
    <w:rsid w:val="001C39B0"/>
    <w:rsid w:val="001D206A"/>
    <w:rsid w:val="00201EEC"/>
    <w:rsid w:val="00245BB1"/>
    <w:rsid w:val="00253A2E"/>
    <w:rsid w:val="0029634D"/>
    <w:rsid w:val="002B585E"/>
    <w:rsid w:val="002B5FF2"/>
    <w:rsid w:val="002E765F"/>
    <w:rsid w:val="002F108B"/>
    <w:rsid w:val="003213F8"/>
    <w:rsid w:val="00321C7C"/>
    <w:rsid w:val="0034191A"/>
    <w:rsid w:val="00343CC7"/>
    <w:rsid w:val="00353E39"/>
    <w:rsid w:val="003567C0"/>
    <w:rsid w:val="00384A08"/>
    <w:rsid w:val="003A753A"/>
    <w:rsid w:val="003E1CB6"/>
    <w:rsid w:val="003E3CF6"/>
    <w:rsid w:val="003E759F"/>
    <w:rsid w:val="003F0691"/>
    <w:rsid w:val="00403373"/>
    <w:rsid w:val="00404E54"/>
    <w:rsid w:val="00406C81"/>
    <w:rsid w:val="00411224"/>
    <w:rsid w:val="00412545"/>
    <w:rsid w:val="00430BB0"/>
    <w:rsid w:val="0044528F"/>
    <w:rsid w:val="00465666"/>
    <w:rsid w:val="00493F01"/>
    <w:rsid w:val="004D0F82"/>
    <w:rsid w:val="00506409"/>
    <w:rsid w:val="00530E32"/>
    <w:rsid w:val="005447EA"/>
    <w:rsid w:val="005466D6"/>
    <w:rsid w:val="00551F45"/>
    <w:rsid w:val="00560E88"/>
    <w:rsid w:val="005711A3"/>
    <w:rsid w:val="00573B2B"/>
    <w:rsid w:val="00582A7A"/>
    <w:rsid w:val="00584BD4"/>
    <w:rsid w:val="00595D58"/>
    <w:rsid w:val="005A4F04"/>
    <w:rsid w:val="005B5793"/>
    <w:rsid w:val="005D2974"/>
    <w:rsid w:val="005E6635"/>
    <w:rsid w:val="006330A2"/>
    <w:rsid w:val="00642EB6"/>
    <w:rsid w:val="00673057"/>
    <w:rsid w:val="006D25C0"/>
    <w:rsid w:val="006F7602"/>
    <w:rsid w:val="00707005"/>
    <w:rsid w:val="00714407"/>
    <w:rsid w:val="00714F09"/>
    <w:rsid w:val="00722A17"/>
    <w:rsid w:val="007278D0"/>
    <w:rsid w:val="00757B83"/>
    <w:rsid w:val="0076060A"/>
    <w:rsid w:val="007656B5"/>
    <w:rsid w:val="00791A69"/>
    <w:rsid w:val="00794830"/>
    <w:rsid w:val="00797CAA"/>
    <w:rsid w:val="007B7F97"/>
    <w:rsid w:val="007C2658"/>
    <w:rsid w:val="007C3488"/>
    <w:rsid w:val="007E20D0"/>
    <w:rsid w:val="007E77C8"/>
    <w:rsid w:val="008029C1"/>
    <w:rsid w:val="0081485F"/>
    <w:rsid w:val="00820315"/>
    <w:rsid w:val="00832444"/>
    <w:rsid w:val="00843B45"/>
    <w:rsid w:val="00863129"/>
    <w:rsid w:val="008722A4"/>
    <w:rsid w:val="008728A3"/>
    <w:rsid w:val="00884EDA"/>
    <w:rsid w:val="00895B14"/>
    <w:rsid w:val="008C2DB2"/>
    <w:rsid w:val="008D770E"/>
    <w:rsid w:val="0090337E"/>
    <w:rsid w:val="00985111"/>
    <w:rsid w:val="009B0EC1"/>
    <w:rsid w:val="009C2378"/>
    <w:rsid w:val="009D016F"/>
    <w:rsid w:val="009E251D"/>
    <w:rsid w:val="00A171F4"/>
    <w:rsid w:val="00A24EFC"/>
    <w:rsid w:val="00A63597"/>
    <w:rsid w:val="00A977CE"/>
    <w:rsid w:val="00AD131F"/>
    <w:rsid w:val="00AF3B3A"/>
    <w:rsid w:val="00AF6569"/>
    <w:rsid w:val="00B0005E"/>
    <w:rsid w:val="00B0081C"/>
    <w:rsid w:val="00B06265"/>
    <w:rsid w:val="00B0758C"/>
    <w:rsid w:val="00B15E0C"/>
    <w:rsid w:val="00B239CB"/>
    <w:rsid w:val="00B41E02"/>
    <w:rsid w:val="00B8248C"/>
    <w:rsid w:val="00B90F78"/>
    <w:rsid w:val="00BC318F"/>
    <w:rsid w:val="00BD1058"/>
    <w:rsid w:val="00BF56B2"/>
    <w:rsid w:val="00BF7BFE"/>
    <w:rsid w:val="00C457C3"/>
    <w:rsid w:val="00C5117C"/>
    <w:rsid w:val="00C53621"/>
    <w:rsid w:val="00C644CA"/>
    <w:rsid w:val="00C73005"/>
    <w:rsid w:val="00C737E4"/>
    <w:rsid w:val="00C8133E"/>
    <w:rsid w:val="00CD0ECD"/>
    <w:rsid w:val="00CE00F6"/>
    <w:rsid w:val="00CF36C9"/>
    <w:rsid w:val="00CF40A7"/>
    <w:rsid w:val="00D166AC"/>
    <w:rsid w:val="00D608D1"/>
    <w:rsid w:val="00D61172"/>
    <w:rsid w:val="00D7785A"/>
    <w:rsid w:val="00DB6D77"/>
    <w:rsid w:val="00DC754A"/>
    <w:rsid w:val="00DF741B"/>
    <w:rsid w:val="00E14608"/>
    <w:rsid w:val="00E1612A"/>
    <w:rsid w:val="00E21E67"/>
    <w:rsid w:val="00E30EBF"/>
    <w:rsid w:val="00E52D70"/>
    <w:rsid w:val="00E55534"/>
    <w:rsid w:val="00E575F8"/>
    <w:rsid w:val="00E770E8"/>
    <w:rsid w:val="00E914D1"/>
    <w:rsid w:val="00EA3976"/>
    <w:rsid w:val="00EB6A7A"/>
    <w:rsid w:val="00EF3014"/>
    <w:rsid w:val="00F20920"/>
    <w:rsid w:val="00F2313B"/>
    <w:rsid w:val="00F46C83"/>
    <w:rsid w:val="00F56318"/>
    <w:rsid w:val="00F631EC"/>
    <w:rsid w:val="00F73CBE"/>
    <w:rsid w:val="00F82525"/>
    <w:rsid w:val="00F97FEA"/>
    <w:rsid w:val="00FB47F8"/>
    <w:rsid w:val="00FC0D18"/>
    <w:rsid w:val="00FE61B5"/>
    <w:rsid w:val="00FF3870"/>
    <w:rsid w:val="00FF52AE"/>
    <w:rsid w:val="00FF7937"/>
  </w:rsids>
  <m:mathPr>
    <m:mathFont m:val="Cambria Math"/>
    <m:brkBin m:val="before"/>
    <m:brkBinSub m:val="--"/>
    <m:smallFrac m:val="0"/>
    <m:dispDef/>
    <m:lMargin m:val="0"/>
    <m:rMargin m:val="0"/>
    <m:defJc m:val="centerGroup"/>
    <m:wrapIndent m:val="1440"/>
    <m:intLim m:val="subSup"/>
    <m:naryLim m:val="undOvr"/>
  </m:mathPr>
  <w:themeFontLang w:val="de-DE"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6DB529C"/>
  <w15:docId w15:val="{D1ACFA1F-DFA9-4F68-A9B9-1251AD149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16"/>
        <w:szCs w:val="16"/>
        <w:lang w:val="es-E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CE00F6"/>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Theme="majorEastAsia" w:cstheme="majorBidi"/>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asciiTheme="majorHAnsi" w:eastAsiaTheme="majorEastAsia" w:hAnsiTheme="majorHAnsi" w:cstheme="majorBidi"/>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asciiTheme="majorHAnsi" w:eastAsiaTheme="majorEastAsia" w:hAnsiTheme="majorHAnsi" w:cstheme="majorBidi"/>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asciiTheme="majorHAnsi" w:eastAsiaTheme="majorEastAsia" w:hAnsiTheme="majorHAnsi" w:cstheme="majorBidi"/>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rPr>
      <w:szCs w:val="20"/>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basedOn w:val="Absatz-Standardschriftart"/>
    <w:link w:val="berschrift1"/>
    <w:uiPriority w:val="9"/>
    <w:rsid w:val="00A171F4"/>
    <w:rPr>
      <w:rFonts w:eastAsiaTheme="majorEastAsia" w:cstheme="majorBidi"/>
      <w:b/>
      <w:sz w:val="40"/>
      <w:szCs w:val="32"/>
    </w:rPr>
  </w:style>
  <w:style w:type="character" w:customStyle="1" w:styleId="berschrift2Zchn">
    <w:name w:val="Überschrift 2 Zchn"/>
    <w:basedOn w:val="Absatz-Standardschriftart"/>
    <w:link w:val="berschrift2"/>
    <w:uiPriority w:val="9"/>
    <w:rsid w:val="002E765F"/>
    <w:rPr>
      <w:rFonts w:asciiTheme="majorHAnsi" w:eastAsiaTheme="majorEastAsia" w:hAnsiTheme="majorHAnsi" w:cstheme="majorBidi"/>
      <w:b/>
      <w:sz w:val="22"/>
      <w:szCs w:val="26"/>
    </w:rPr>
  </w:style>
  <w:style w:type="character" w:customStyle="1" w:styleId="berschrift3Zchn">
    <w:name w:val="Überschrift 3 Zchn"/>
    <w:basedOn w:val="Absatz-Standardschriftart"/>
    <w:link w:val="berschrift3"/>
    <w:uiPriority w:val="9"/>
    <w:rsid w:val="002E765F"/>
    <w:rPr>
      <w:rFonts w:asciiTheme="majorHAnsi" w:eastAsiaTheme="majorEastAsia" w:hAnsiTheme="majorHAnsi" w:cstheme="majorBidi"/>
      <w:b/>
      <w:sz w:val="20"/>
      <w:szCs w:val="24"/>
    </w:rPr>
  </w:style>
  <w:style w:type="character" w:customStyle="1" w:styleId="berschrift4Zchn">
    <w:name w:val="Überschrift 4 Zchn"/>
    <w:basedOn w:val="Absatz-Standardschriftart"/>
    <w:link w:val="berschrift4"/>
    <w:uiPriority w:val="9"/>
    <w:rsid w:val="002E765F"/>
    <w:rPr>
      <w:rFonts w:asciiTheme="majorHAnsi" w:eastAsiaTheme="majorEastAsia" w:hAnsiTheme="majorHAnsi" w:cstheme="majorBidi"/>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0062A7" w:themeColor="text2"/>
      <w:sz w:val="18"/>
    </w:rPr>
  </w:style>
  <w:style w:type="character" w:customStyle="1" w:styleId="FuzeileZchn">
    <w:name w:val="Fußzeile Zchn"/>
    <w:basedOn w:val="Absatz-Standardschriftart"/>
    <w:link w:val="Fuzeile"/>
    <w:uiPriority w:val="99"/>
    <w:rsid w:val="00642EB6"/>
    <w:rPr>
      <w:color w:val="0062A7" w:themeColor="text2"/>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basedOn w:val="Absatz-Standardschriftart"/>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6D25C0"/>
    <w:pPr>
      <w:spacing w:line="600" w:lineRule="exact"/>
      <w:contextualSpacing/>
    </w:pPr>
    <w:rPr>
      <w:rFonts w:asciiTheme="majorHAnsi" w:eastAsiaTheme="majorEastAsia" w:hAnsiTheme="majorHAnsi" w:cstheme="majorBidi"/>
      <w:b/>
      <w:color w:val="0062A7" w:themeColor="text2"/>
      <w:sz w:val="40"/>
      <w:szCs w:val="52"/>
    </w:rPr>
  </w:style>
  <w:style w:type="character" w:customStyle="1" w:styleId="TitelZchn">
    <w:name w:val="Titel Zchn"/>
    <w:basedOn w:val="Absatz-Standardschriftart"/>
    <w:link w:val="Titel"/>
    <w:rsid w:val="006D25C0"/>
    <w:rPr>
      <w:rFonts w:asciiTheme="majorHAnsi" w:eastAsiaTheme="majorEastAsia" w:hAnsiTheme="majorHAnsi" w:cstheme="majorBidi"/>
      <w:b/>
      <w:color w:val="0062A7" w:themeColor="text2"/>
      <w:sz w:val="40"/>
      <w:szCs w:val="52"/>
    </w:rPr>
  </w:style>
  <w:style w:type="character" w:styleId="Hervorhebung">
    <w:name w:val="Emphasis"/>
    <w:basedOn w:val="Absatz-Standardschriftart"/>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asciiTheme="majorHAnsi" w:eastAsiaTheme="majorEastAsia" w:hAnsiTheme="majorHAnsi" w:cstheme="majorBidi"/>
      <w:iCs/>
      <w:color w:val="5C666F" w:themeColor="accent1"/>
      <w:sz w:val="32"/>
      <w:szCs w:val="24"/>
    </w:rPr>
  </w:style>
  <w:style w:type="character" w:customStyle="1" w:styleId="UntertitelZchn">
    <w:name w:val="Untertitel Zchn"/>
    <w:basedOn w:val="Absatz-Standardschriftart"/>
    <w:link w:val="Untertitel"/>
    <w:rsid w:val="00843B45"/>
    <w:rPr>
      <w:rFonts w:asciiTheme="majorHAnsi" w:eastAsiaTheme="majorEastAsia" w:hAnsiTheme="majorHAnsi" w:cstheme="majorBidi"/>
      <w:iCs/>
      <w:color w:val="5C666F" w:themeColor="accent1"/>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styleId="Listenabsatz">
    <w:name w:val="List Paragraph"/>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basedOn w:val="Absatz-Standardschriftart"/>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styleId="SchwacheHervorhebung">
    <w:name w:val="Subtle Emphasis"/>
    <w:basedOn w:val="Absatz-Standardschriftart"/>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44528F"/>
    <w:pPr>
      <w:numPr>
        <w:numId w:val="22"/>
      </w:numPr>
      <w:spacing w:after="120" w:line="280" w:lineRule="atLeast"/>
      <w:contextualSpacing/>
    </w:pPr>
    <w:rPr>
      <w:sz w:val="22"/>
    </w:rPr>
  </w:style>
  <w:style w:type="paragraph" w:customStyle="1" w:styleId="Bulletpoint2">
    <w:name w:val="Bulletpoint 2"/>
    <w:basedOn w:val="Standard"/>
    <w:uiPriority w:val="5"/>
    <w:qFormat/>
    <w:rsid w:val="0044528F"/>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44528F"/>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0062A7" w:themeColor="text2"/>
        <w:bottom w:val="single" w:sz="2" w:space="0" w:color="0062A7" w:themeColor="text2"/>
        <w:right w:val="single" w:sz="2" w:space="0" w:color="0062A7" w:themeColor="text2"/>
        <w:insideH w:val="single" w:sz="2" w:space="0" w:color="0062A7" w:themeColor="text2"/>
        <w:insideV w:val="single" w:sz="2" w:space="0" w:color="0062A7" w:themeColor="text2"/>
      </w:tblBorders>
      <w:tblCellMar>
        <w:left w:w="85" w:type="dxa"/>
        <w:right w:w="85" w:type="dxa"/>
      </w:tblCellMar>
    </w:tblPr>
    <w:tblStylePr w:type="firstRow">
      <w:pPr>
        <w:wordWrap/>
        <w:spacing w:beforeLines="40" w:before="40" w:beforeAutospacing="0" w:afterLines="40" w:after="40" w:afterAutospacing="0"/>
      </w:pPr>
      <w:rPr>
        <w:b/>
        <w:color w:val="FFFFFF" w:themeColor="background1"/>
      </w:rPr>
      <w:tblPr/>
      <w:tcPr>
        <w:tcBorders>
          <w:top w:val="single" w:sz="2" w:space="0" w:color="FFFFFF" w:themeColor="background1"/>
          <w:left w:val="single" w:sz="2" w:space="0" w:color="0062A7" w:themeColor="text2"/>
          <w:bottom w:val="single" w:sz="2" w:space="0" w:color="FFFFFF" w:themeColor="background1"/>
          <w:right w:val="single" w:sz="2" w:space="0" w:color="0062A7" w:themeColor="text2"/>
          <w:insideH w:val="single" w:sz="2" w:space="0" w:color="FFFFFF" w:themeColor="background1"/>
          <w:insideV w:val="single" w:sz="2" w:space="0" w:color="FFFFFF" w:themeColor="background1"/>
          <w:tl2br w:val="nil"/>
          <w:tr2bl w:val="nil"/>
        </w:tcBorders>
        <w:shd w:val="clear" w:color="auto" w:fill="0062A7" w:themeFill="text2"/>
      </w:tcPr>
    </w:tblStylePr>
    <w:tblStylePr w:type="lastRow">
      <w:rPr>
        <w:b/>
      </w:rPr>
      <w:tblPr/>
      <w:tcPr>
        <w:tcBorders>
          <w:top w:val="single" w:sz="4" w:space="0" w:color="41535D" w:themeColor="text1"/>
          <w:bottom w:val="single" w:sz="4" w:space="0" w:color="41535D" w:themeColor="text1"/>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themeColor="text1"/>
      <w:szCs w:val="18"/>
    </w:rPr>
  </w:style>
  <w:style w:type="paragraph" w:styleId="Inhaltsverzeichnisberschrift">
    <w:name w:val="TOC Heading"/>
    <w:basedOn w:val="berschrift1"/>
    <w:next w:val="Standard"/>
    <w:uiPriority w:val="39"/>
    <w:qFormat/>
    <w:rsid w:val="00BD1058"/>
    <w:pPr>
      <w:spacing w:line="240" w:lineRule="auto"/>
      <w:outlineLvl w:val="9"/>
    </w:pPr>
    <w:rPr>
      <w:rFonts w:asciiTheme="majorHAnsi" w:hAnsiTheme="majorHAnsi"/>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basedOn w:val="Absatz-Standardschriftart"/>
    <w:uiPriority w:val="99"/>
    <w:unhideWhenUsed/>
    <w:rsid w:val="00BD1058"/>
    <w:rPr>
      <w:color w:val="41535D" w:themeColor="hyperlink"/>
      <w:u w:val="single"/>
    </w:rPr>
  </w:style>
  <w:style w:type="character" w:styleId="Platzhaltertext">
    <w:name w:val="Placeholder Text"/>
    <w:basedOn w:val="Absatz-Standardschriftart"/>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wmf"/></Relationships>
</file>

<file path=word/_rels/header2.xml.rels><?xml version="1.0" encoding="UTF-8" standalone="yes"?>
<Relationships xmlns="http://schemas.openxmlformats.org/package/2006/relationships"><Relationship Id="rId2" Type="http://schemas.openxmlformats.org/officeDocument/2006/relationships/image" Target="media/image12.wmf"/><Relationship Id="rId1" Type="http://schemas.openxmlformats.org/officeDocument/2006/relationships/image" Target="media/image11.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I:\Marketing\WIRTGEN\Werbung\Anzeigen\Redaktionelle%20Beitr&#228;ge\_Vorlagen\PR_BENNINGHOVEN_Vorlage.dotx" TargetMode="External"/></Relationships>
</file>

<file path=word/theme/theme1.xml><?xml version="1.0" encoding="utf-8"?>
<a:theme xmlns:a="http://schemas.openxmlformats.org/drawingml/2006/main" name="Office Theme">
  <a:themeElements>
    <a:clrScheme name="Wirtgen_Benninghoven">
      <a:dk1>
        <a:srgbClr val="41535D"/>
      </a:dk1>
      <a:lt1>
        <a:sysClr val="window" lastClr="FFFFFF"/>
      </a:lt1>
      <a:dk2>
        <a:srgbClr val="0062A7"/>
      </a:dk2>
      <a:lt2>
        <a:srgbClr val="ADB2B6"/>
      </a:lt2>
      <a:accent1>
        <a:srgbClr val="5C666F"/>
      </a:accent1>
      <a:accent2>
        <a:srgbClr val="7C848C"/>
      </a:accent2>
      <a:accent3>
        <a:srgbClr val="9DA3A8"/>
      </a:accent3>
      <a:accent4>
        <a:srgbClr val="BDC1C5"/>
      </a:accent4>
      <a:accent5>
        <a:srgbClr val="DEE0E2"/>
      </a:accent5>
      <a:accent6>
        <a:srgbClr val="EEEFF0"/>
      </a:accent6>
      <a:hlink>
        <a:srgbClr val="41535D"/>
      </a:hlink>
      <a:folHlink>
        <a:srgbClr val="9DA3A8"/>
      </a:folHlink>
    </a:clrScheme>
    <a:fontScheme name="Wirtgen">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CD2613-25E8-4B0D-A1B3-4A6922B552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PR_BENNINGHOVEN_Vorlage.dotx</Template>
  <TotalTime>0</TotalTime>
  <Pages>6</Pages>
  <Words>1156</Words>
  <Characters>7287</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Wirtgen GmbH</Company>
  <LinksUpToDate>false</LinksUpToDate>
  <CharactersWithSpaces>8427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Anja.Schnur</dc:creator>
  <cp:lastModifiedBy>techtrans GmbH Weber Andreas</cp:lastModifiedBy>
  <cp:revision>29</cp:revision>
  <cp:lastPrinted>2018-05-23T06:33:00Z</cp:lastPrinted>
  <dcterms:created xsi:type="dcterms:W3CDTF">2018-05-30T05:46:00Z</dcterms:created>
  <dcterms:modified xsi:type="dcterms:W3CDTF">2019-01-07T07:25:00Z</dcterms:modified>
</cp:coreProperties>
</file>