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D25C0" w:rsidRPr="00D513AF" w:rsidRDefault="00071AAD" w:rsidP="00493F01">
      <w:pPr>
        <w:pStyle w:val="berschrift1"/>
        <w:spacing w:before="0" w:after="0" w:line="276" w:lineRule="auto"/>
        <w:jc w:val="left"/>
        <w:rPr>
          <w:spacing w:val="-4"/>
        </w:rPr>
      </w:pPr>
      <w:r w:rsidRPr="00D513AF">
        <w:rPr>
          <w:spacing w:val="-4"/>
        </w:rPr>
        <w:t>Estreia mundial – Instalação de mistura de asfalto TBA da BENNINGHOVEN disponível pela primeira vez com geradores de gás quente</w:t>
      </w:r>
    </w:p>
    <w:p w:rsidR="006D25C0" w:rsidRDefault="006D25C0" w:rsidP="006D25C0">
      <w:pPr>
        <w:pStyle w:val="Text"/>
      </w:pPr>
    </w:p>
    <w:p w:rsidR="00FE61B5" w:rsidRDefault="003F0691" w:rsidP="00493F01">
      <w:pPr>
        <w:pStyle w:val="Text"/>
        <w:spacing w:line="276" w:lineRule="auto"/>
        <w:rPr>
          <w:rStyle w:val="Hervorhebung"/>
        </w:rPr>
      </w:pPr>
      <w:r>
        <w:rPr>
          <w:rStyle w:val="Hervorhebung"/>
        </w:rPr>
        <w:t xml:space="preserve">Tecnologia líder de reciclagem da BENNIGHOVEN – Tambor de reciclagem conforme o princípio de contracorrente, com gerador de gás quente, agora também instalado na TBA. </w:t>
      </w:r>
    </w:p>
    <w:p w:rsidR="001A1F24" w:rsidRDefault="001A1F24" w:rsidP="00493F01">
      <w:pPr>
        <w:pStyle w:val="Text"/>
        <w:spacing w:line="276" w:lineRule="auto"/>
      </w:pPr>
    </w:p>
    <w:p w:rsidR="00DB6D77" w:rsidRDefault="00E1612A" w:rsidP="00E1612A">
      <w:pPr>
        <w:pStyle w:val="Text"/>
        <w:spacing w:line="276" w:lineRule="auto"/>
      </w:pPr>
      <w:r>
        <w:t>A instalação de mistura de asfalto transportável do tipo TBA cobre a faixa de potência de 160 a 320</w:t>
      </w:r>
      <w:r w:rsidR="00D513AF">
        <w:t> </w:t>
      </w:r>
      <w:r>
        <w:t>t/h e é apropriada para a aplicações semi-móveis e estacionárias. O modelo dos componentes principais em forma de contêiner, com fiação conectável proporciona opções de transporte ideais e um reduzido tempo de configuração do sistema modular. A alta flexibilidade da instalação, as opções disponíveis, os sistemas de adição de reciclagem e a constante possibilidade de adaptação posterior dos componentes fazem da TBA um impressionante pau para toda obra.</w:t>
      </w:r>
    </w:p>
    <w:p w:rsidR="003F0691" w:rsidRDefault="003F0691" w:rsidP="00E1612A">
      <w:pPr>
        <w:pStyle w:val="Text"/>
        <w:spacing w:line="276" w:lineRule="auto"/>
      </w:pPr>
    </w:p>
    <w:p w:rsidR="00B15E0C" w:rsidRDefault="003F0691" w:rsidP="00B15E0C">
      <w:pPr>
        <w:pStyle w:val="Text"/>
        <w:spacing w:line="276" w:lineRule="auto"/>
      </w:pPr>
      <w:r>
        <w:t>Um absoluto valor acrescentado reside nas grandes capacidades de armazenamento de silo quente e silo de carregamento de material de mistura. O armazém intermediário do mineral branco seco, aquecido e separado está disponível nas capacidades de 60</w:t>
      </w:r>
      <w:r w:rsidR="00D513AF">
        <w:t> </w:t>
      </w:r>
      <w:r>
        <w:t>t, 80</w:t>
      </w:r>
      <w:r w:rsidR="00D513AF">
        <w:t> </w:t>
      </w:r>
      <w:r>
        <w:t>t e 130</w:t>
      </w:r>
      <w:r w:rsidR="00D513AF">
        <w:t> </w:t>
      </w:r>
      <w:r>
        <w:t>t em 5, 6 ou 7 bolsas. Ainda é possível se combinar ou separar areia e bypass, para levar o grão de tamanho maior para o exterior ou para se recolher na última bolsa.</w:t>
      </w:r>
    </w:p>
    <w:p w:rsidR="00B15E0C" w:rsidRDefault="00B15E0C" w:rsidP="00B15E0C">
      <w:pPr>
        <w:pStyle w:val="Text"/>
        <w:spacing w:line="276" w:lineRule="auto"/>
      </w:pPr>
    </w:p>
    <w:p w:rsidR="00B15E0C" w:rsidRDefault="00B15E0C" w:rsidP="00B15E0C">
      <w:pPr>
        <w:pStyle w:val="Text"/>
        <w:spacing w:line="276" w:lineRule="auto"/>
      </w:pPr>
      <w:r>
        <w:t>Uma reserva suficientemente grande é assegurada por um integrado silo de carregamento de material de mistura, nas dimensões de 42 – 517</w:t>
      </w:r>
      <w:r w:rsidR="00D513AF">
        <w:t> </w:t>
      </w:r>
      <w:r>
        <w:t>t, com capacidade de armazenamento simultâneo de até sete tipos de asfalto (receitas). O sistema modular pode ser ampliado e readaptado a qualquer momento.</w:t>
      </w:r>
    </w:p>
    <w:p w:rsidR="00CF40A7" w:rsidRDefault="00CF40A7" w:rsidP="00E1612A">
      <w:pPr>
        <w:pStyle w:val="Text"/>
        <w:spacing w:line="276" w:lineRule="auto"/>
      </w:pPr>
    </w:p>
    <w:p w:rsidR="00E1612A" w:rsidRDefault="00E1612A" w:rsidP="00DB6D77">
      <w:pPr>
        <w:pStyle w:val="Text"/>
        <w:spacing w:line="276" w:lineRule="auto"/>
        <w:rPr>
          <w:rStyle w:val="Hervorhebung"/>
        </w:rPr>
      </w:pPr>
    </w:p>
    <w:p w:rsidR="00EA3976" w:rsidRPr="00EA3976" w:rsidRDefault="00EA3976" w:rsidP="00EA3976">
      <w:pPr>
        <w:pStyle w:val="Text"/>
        <w:spacing w:line="276" w:lineRule="auto"/>
        <w:rPr>
          <w:b/>
          <w:iCs/>
        </w:rPr>
      </w:pPr>
      <w:r>
        <w:rPr>
          <w:b/>
          <w:iCs/>
        </w:rPr>
        <w:t>2 t, 3 t ou 4 t de asfalto – a cada 45 segundos</w:t>
      </w:r>
    </w:p>
    <w:p w:rsidR="00EA3976" w:rsidRPr="00EA3976" w:rsidRDefault="00EA3976" w:rsidP="00EA3976">
      <w:pPr>
        <w:pStyle w:val="Text"/>
        <w:spacing w:line="276" w:lineRule="auto"/>
        <w:rPr>
          <w:iCs/>
        </w:rPr>
      </w:pPr>
      <w:r>
        <w:t>Assim, a TBA</w:t>
      </w:r>
      <w:r w:rsidR="00D513AF">
        <w:t> </w:t>
      </w:r>
      <w:r>
        <w:t>2000, 3000 ou 4000 dispõe de um misturador de 2.000, 3.000 e 4.000</w:t>
      </w:r>
      <w:r w:rsidR="00D513AF">
        <w:t> </w:t>
      </w:r>
      <w:r>
        <w:t>kg e garante uma capacidade de mistura de 160, 240 e 320</w:t>
      </w:r>
      <w:r w:rsidR="00D513AF">
        <w:t> </w:t>
      </w:r>
      <w:r>
        <w:t>t/h. As instalações deste tipo são extremamente robustas. Por isso, a instalação pode ser instalada também em áreas sísmicas e suporta fortes cargas de vento. No entanto, devido à</w:t>
      </w:r>
      <w:r w:rsidR="00D513AF">
        <w:t> </w:t>
      </w:r>
      <w:r>
        <w:t>sua estrutura modular e ao seu pré-cabeamento que são concebidos para uma rápida conexão, cada TBA pode ser facilmente transportada e instalada em outros locais.</w:t>
      </w:r>
    </w:p>
    <w:p w:rsidR="00EA3976" w:rsidRPr="00EA3976" w:rsidRDefault="00EA3976" w:rsidP="00EA3976">
      <w:pPr>
        <w:pStyle w:val="Text"/>
        <w:spacing w:line="276" w:lineRule="auto"/>
        <w:rPr>
          <w:iCs/>
        </w:rPr>
      </w:pPr>
    </w:p>
    <w:p w:rsidR="00D513AF" w:rsidRDefault="00D513AF" w:rsidP="00EA3976">
      <w:pPr>
        <w:pStyle w:val="Text"/>
        <w:spacing w:line="276" w:lineRule="auto"/>
        <w:rPr>
          <w:b/>
          <w:iCs/>
        </w:rPr>
      </w:pPr>
      <w:r>
        <w:rPr>
          <w:b/>
          <w:iCs/>
        </w:rPr>
        <w:br w:type="page"/>
      </w:r>
    </w:p>
    <w:p w:rsidR="00EA3976" w:rsidRPr="00EA3976" w:rsidRDefault="00EA3976" w:rsidP="00EA3976">
      <w:pPr>
        <w:pStyle w:val="Text"/>
        <w:spacing w:line="276" w:lineRule="auto"/>
        <w:rPr>
          <w:b/>
          <w:iCs/>
        </w:rPr>
      </w:pPr>
      <w:r>
        <w:rPr>
          <w:b/>
          <w:iCs/>
        </w:rPr>
        <w:lastRenderedPageBreak/>
        <w:t>Destaques da instalação transportável (TBA) da BENNINGHOVEN</w:t>
      </w:r>
    </w:p>
    <w:p w:rsidR="00EA3976" w:rsidRPr="00EA3976" w:rsidRDefault="00EA3976" w:rsidP="00EA3976">
      <w:pPr>
        <w:pStyle w:val="Text"/>
        <w:numPr>
          <w:ilvl w:val="0"/>
          <w:numId w:val="28"/>
        </w:numPr>
        <w:spacing w:line="276" w:lineRule="auto"/>
        <w:rPr>
          <w:iCs/>
        </w:rPr>
      </w:pPr>
      <w:r>
        <w:t>Sistema modular</w:t>
      </w:r>
    </w:p>
    <w:p w:rsidR="00EA3976" w:rsidRPr="00EA3976" w:rsidRDefault="00EA3976" w:rsidP="00EA3976">
      <w:pPr>
        <w:pStyle w:val="Text"/>
        <w:numPr>
          <w:ilvl w:val="0"/>
          <w:numId w:val="28"/>
        </w:numPr>
        <w:spacing w:line="276" w:lineRule="auto"/>
        <w:rPr>
          <w:iCs/>
        </w:rPr>
      </w:pPr>
      <w:r>
        <w:t>Grande faixa de potência</w:t>
      </w:r>
    </w:p>
    <w:p w:rsidR="00EA3976" w:rsidRPr="00EA3976" w:rsidRDefault="00EA3976" w:rsidP="00EA3976">
      <w:pPr>
        <w:pStyle w:val="Text"/>
        <w:numPr>
          <w:ilvl w:val="0"/>
          <w:numId w:val="28"/>
        </w:numPr>
        <w:spacing w:line="276" w:lineRule="auto"/>
        <w:rPr>
          <w:iCs/>
        </w:rPr>
      </w:pPr>
      <w:r>
        <w:t>Adição de material a ser reciclado acima de 80%</w:t>
      </w:r>
    </w:p>
    <w:p w:rsidR="00EA3976" w:rsidRPr="00EA3976" w:rsidRDefault="00EA3976" w:rsidP="00EA3976">
      <w:pPr>
        <w:pStyle w:val="Text"/>
        <w:numPr>
          <w:ilvl w:val="0"/>
          <w:numId w:val="28"/>
        </w:numPr>
        <w:spacing w:line="276" w:lineRule="auto"/>
        <w:rPr>
          <w:iCs/>
        </w:rPr>
      </w:pPr>
      <w:r>
        <w:t>Grande variedade de opções</w:t>
      </w:r>
    </w:p>
    <w:p w:rsidR="00EA3976" w:rsidRPr="00EA3976" w:rsidRDefault="00EA3976" w:rsidP="00EA3976">
      <w:pPr>
        <w:pStyle w:val="Text"/>
        <w:numPr>
          <w:ilvl w:val="0"/>
          <w:numId w:val="28"/>
        </w:numPr>
        <w:spacing w:line="276" w:lineRule="auto"/>
        <w:rPr>
          <w:iCs/>
        </w:rPr>
      </w:pPr>
      <w:r>
        <w:t>Construção robusta, resistente a terremotos e grandes cargas de vento</w:t>
      </w:r>
    </w:p>
    <w:p w:rsidR="00EA3976" w:rsidRPr="00442B20" w:rsidRDefault="00EA3976" w:rsidP="00EA3976">
      <w:pPr>
        <w:pStyle w:val="Text"/>
        <w:numPr>
          <w:ilvl w:val="0"/>
          <w:numId w:val="28"/>
        </w:numPr>
        <w:spacing w:line="276" w:lineRule="auto"/>
        <w:rPr>
          <w:iCs/>
        </w:rPr>
      </w:pPr>
      <w:r w:rsidRPr="00442B20">
        <w:t xml:space="preserve">Fácil de se transportar e curto tempo de montagem devido à construção dos principais componentes em forma de contêiner, com fiação conectável - </w:t>
      </w:r>
      <w:r w:rsidR="00886F89" w:rsidRPr="00442B20">
        <w:t>“Plug</w:t>
      </w:r>
      <w:r w:rsidR="00442B20">
        <w:t> </w:t>
      </w:r>
      <w:r w:rsidR="00886F89" w:rsidRPr="00442B20">
        <w:t>&amp;</w:t>
      </w:r>
      <w:r w:rsidR="00442B20">
        <w:t> </w:t>
      </w:r>
      <w:r w:rsidR="00886F89" w:rsidRPr="00442B20">
        <w:t>Work”</w:t>
      </w:r>
    </w:p>
    <w:p w:rsidR="008728A3" w:rsidRPr="00EA3976" w:rsidRDefault="008728A3" w:rsidP="00EA3976">
      <w:pPr>
        <w:pStyle w:val="Text"/>
        <w:numPr>
          <w:ilvl w:val="0"/>
          <w:numId w:val="28"/>
        </w:numPr>
        <w:spacing w:line="276" w:lineRule="auto"/>
        <w:rPr>
          <w:iCs/>
        </w:rPr>
      </w:pPr>
      <w:r>
        <w:t>Capacidade de armazenamento do silo de carregamento de até 517</w:t>
      </w:r>
      <w:r w:rsidR="00442B20">
        <w:t> </w:t>
      </w:r>
      <w:r>
        <w:t>t</w:t>
      </w:r>
    </w:p>
    <w:p w:rsidR="00E1612A" w:rsidRDefault="00E1612A" w:rsidP="00DB6D77">
      <w:pPr>
        <w:pStyle w:val="Text"/>
        <w:spacing w:line="276" w:lineRule="auto"/>
        <w:rPr>
          <w:iCs/>
        </w:rPr>
      </w:pPr>
    </w:p>
    <w:p w:rsidR="008728A3" w:rsidRPr="00EA3976" w:rsidRDefault="008728A3" w:rsidP="00DB6D77">
      <w:pPr>
        <w:pStyle w:val="Text"/>
        <w:spacing w:line="276" w:lineRule="auto"/>
        <w:rPr>
          <w:iCs/>
        </w:rPr>
      </w:pPr>
    </w:p>
    <w:p w:rsidR="0081485F" w:rsidRPr="0081485F" w:rsidRDefault="0081485F" w:rsidP="0081485F">
      <w:pPr>
        <w:pStyle w:val="Text"/>
        <w:spacing w:line="276" w:lineRule="auto"/>
        <w:rPr>
          <w:b/>
        </w:rPr>
      </w:pPr>
      <w:r>
        <w:rPr>
          <w:b/>
        </w:rPr>
        <w:t xml:space="preserve">Tecnologias de reciclagem de ponta da BENNINGHOVEN </w:t>
      </w:r>
    </w:p>
    <w:p w:rsidR="0081485F" w:rsidRDefault="0081485F" w:rsidP="0081485F">
      <w:pPr>
        <w:pStyle w:val="Text"/>
        <w:spacing w:line="276" w:lineRule="auto"/>
      </w:pPr>
      <w:r>
        <w:t>O tratamento do asfalto reciclado é necessário para a conservação dos recursos naturais. Esta importante razão para a reciclagem é apenas uma das várias – incluindo especificações de cada país, a redução das emissões e a elevada rentabilidade são argumentos para apostar na tecnologia verde da BENNINGHOVEN. Essas tecnologias podem ser integradas nas instalações TBA:</w:t>
      </w:r>
    </w:p>
    <w:p w:rsidR="0081485F" w:rsidRDefault="0081485F" w:rsidP="0081485F">
      <w:pPr>
        <w:pStyle w:val="Text"/>
        <w:spacing w:line="276" w:lineRule="auto"/>
      </w:pPr>
    </w:p>
    <w:p w:rsidR="0081485F" w:rsidRDefault="0081485F" w:rsidP="007278D0">
      <w:pPr>
        <w:pStyle w:val="Text"/>
        <w:numPr>
          <w:ilvl w:val="0"/>
          <w:numId w:val="30"/>
        </w:numPr>
        <w:spacing w:line="276" w:lineRule="auto"/>
      </w:pPr>
      <w:r>
        <w:t>Sistemas de adição reciclagem fria:</w:t>
      </w:r>
    </w:p>
    <w:p w:rsidR="0081485F" w:rsidRDefault="0081485F" w:rsidP="007278D0">
      <w:pPr>
        <w:pStyle w:val="Text"/>
        <w:spacing w:line="276" w:lineRule="auto"/>
        <w:ind w:firstLine="360"/>
      </w:pPr>
      <w:r>
        <w:t>Adição de misturador – para taxas de reciclagem de até 30</w:t>
      </w:r>
      <w:r w:rsidR="00442B20">
        <w:rPr>
          <w:rFonts w:ascii="Arial" w:hAnsi="Arial"/>
        </w:rPr>
        <w:t> </w:t>
      </w:r>
      <w:r>
        <w:t>%</w:t>
      </w:r>
    </w:p>
    <w:p w:rsidR="0081485F" w:rsidRDefault="0081485F" w:rsidP="007278D0">
      <w:pPr>
        <w:pStyle w:val="Text"/>
        <w:spacing w:line="276" w:lineRule="auto"/>
        <w:ind w:firstLine="360"/>
      </w:pPr>
      <w:r>
        <w:t>Adição multivariada – para taxas de reciclagem de até 40</w:t>
      </w:r>
      <w:r w:rsidR="00442B20">
        <w:rPr>
          <w:rFonts w:ascii="Arial" w:hAnsi="Arial"/>
        </w:rPr>
        <w:t> </w:t>
      </w:r>
      <w:r>
        <w:t>%</w:t>
      </w:r>
    </w:p>
    <w:p w:rsidR="0081485F" w:rsidRDefault="0081485F" w:rsidP="0081485F">
      <w:pPr>
        <w:pStyle w:val="Text"/>
        <w:spacing w:line="276" w:lineRule="auto"/>
      </w:pPr>
    </w:p>
    <w:p w:rsidR="0081485F" w:rsidRDefault="0081485F" w:rsidP="007278D0">
      <w:pPr>
        <w:pStyle w:val="Text"/>
        <w:numPr>
          <w:ilvl w:val="0"/>
          <w:numId w:val="30"/>
        </w:numPr>
        <w:spacing w:line="276" w:lineRule="auto"/>
      </w:pPr>
      <w:r>
        <w:t>Sistemas de adição de reciclagem quente:</w:t>
      </w:r>
    </w:p>
    <w:p w:rsidR="0081485F" w:rsidRDefault="0081485F" w:rsidP="007278D0">
      <w:pPr>
        <w:pStyle w:val="Text"/>
        <w:spacing w:line="276" w:lineRule="auto"/>
        <w:ind w:firstLine="360"/>
      </w:pPr>
      <w:r>
        <w:t>Tambor paralelo – para taxas de reciclagem de até 70</w:t>
      </w:r>
      <w:r w:rsidR="00442B20">
        <w:rPr>
          <w:rFonts w:ascii="Arial" w:hAnsi="Arial"/>
        </w:rPr>
        <w:t> </w:t>
      </w:r>
      <w:r>
        <w:t>%</w:t>
      </w:r>
    </w:p>
    <w:p w:rsidR="00147E7D" w:rsidRDefault="0081485F" w:rsidP="007278D0">
      <w:pPr>
        <w:pStyle w:val="Text"/>
        <w:spacing w:line="276" w:lineRule="auto"/>
        <w:ind w:left="360"/>
      </w:pPr>
      <w:r>
        <w:t>Novo: Reciclagem de tambor em processo de contracorrente com gerador de gás quente – para taxas de reciclagem de até 80</w:t>
      </w:r>
      <w:r w:rsidR="00442B20">
        <w:rPr>
          <w:rFonts w:ascii="Arial" w:hAnsi="Arial"/>
        </w:rPr>
        <w:t> </w:t>
      </w:r>
      <w:r>
        <w:t>%</w:t>
      </w:r>
    </w:p>
    <w:p w:rsidR="00147E7D" w:rsidRDefault="00147E7D" w:rsidP="005466D6">
      <w:pPr>
        <w:pStyle w:val="Text"/>
        <w:spacing w:line="276" w:lineRule="auto"/>
      </w:pPr>
    </w:p>
    <w:p w:rsidR="00404E54" w:rsidRDefault="00EB6A7A" w:rsidP="007278D0">
      <w:pPr>
        <w:pStyle w:val="Text"/>
        <w:numPr>
          <w:ilvl w:val="0"/>
          <w:numId w:val="30"/>
        </w:numPr>
        <w:spacing w:line="276" w:lineRule="auto"/>
      </w:pPr>
      <w:r>
        <w:t>Combinação de sistema de adição fria e quente:</w:t>
      </w:r>
    </w:p>
    <w:p w:rsidR="00404E54" w:rsidRDefault="00FB47F8" w:rsidP="00FB47F8">
      <w:pPr>
        <w:pStyle w:val="Text"/>
        <w:spacing w:line="276" w:lineRule="auto"/>
        <w:ind w:left="360"/>
      </w:pPr>
      <w:r>
        <w:t>O uso de um sistema de adição quente é particularmente valioso para grandes quantidades e altas taxas de reciclagem de até 80</w:t>
      </w:r>
      <w:r w:rsidR="00442B20">
        <w:t> </w:t>
      </w:r>
      <w:r>
        <w:t>%. Um sistema de adição fria adicionalmente instalado, com uma possível taxa de adição de até 40</w:t>
      </w:r>
      <w:r w:rsidR="00442B20">
        <w:t> </w:t>
      </w:r>
      <w:r>
        <w:t>%, oferece ao cliente a flexibilidade necessária. Com a adição fria podem ser realizadas pequenas quantidades de 2</w:t>
      </w:r>
      <w:r w:rsidR="00442B20">
        <w:t> </w:t>
      </w:r>
      <w:r>
        <w:t xml:space="preserve">t, com o sistema de adição quente podem ser realizadas tarefas de grande porte. </w:t>
      </w:r>
    </w:p>
    <w:p w:rsidR="00404E54" w:rsidRDefault="00404E54" w:rsidP="005466D6">
      <w:pPr>
        <w:pStyle w:val="Text"/>
        <w:spacing w:line="276" w:lineRule="auto"/>
      </w:pPr>
    </w:p>
    <w:p w:rsidR="00404E54" w:rsidRPr="00F46C83" w:rsidRDefault="00F46C83" w:rsidP="005466D6">
      <w:pPr>
        <w:pStyle w:val="Text"/>
        <w:spacing w:line="276" w:lineRule="auto"/>
        <w:rPr>
          <w:b/>
        </w:rPr>
      </w:pPr>
      <w:r>
        <w:rPr>
          <w:b/>
        </w:rPr>
        <w:t>O sistema comprovado da grande irmã BA RPP agora também na série TBA</w:t>
      </w:r>
    </w:p>
    <w:p w:rsidR="00F46C83" w:rsidRDefault="00F46C83" w:rsidP="005466D6">
      <w:pPr>
        <w:pStyle w:val="Text"/>
        <w:spacing w:line="276" w:lineRule="auto"/>
      </w:pPr>
      <w:r>
        <w:t>O desafio da reciclagem quente consiste em levar o material reciclado à temperatura ideal de processamento de 160</w:t>
      </w:r>
      <w:r w:rsidR="001D72C7">
        <w:t> °C</w:t>
      </w:r>
      <w:r>
        <w:t xml:space="preserve">, manter os valores de emissão dentro da faixa normal e não queimar o betume ali contido – especialmente porque padrões mais rigorosos ou valores limites serão aplicados no futuro. </w:t>
      </w:r>
    </w:p>
    <w:p w:rsidR="00F46C83" w:rsidRDefault="00F46C83" w:rsidP="005466D6">
      <w:pPr>
        <w:pStyle w:val="Text"/>
        <w:spacing w:line="276" w:lineRule="auto"/>
      </w:pPr>
    </w:p>
    <w:p w:rsidR="00404E54" w:rsidRPr="009B0EC1" w:rsidRDefault="00F46C83" w:rsidP="005466D6">
      <w:pPr>
        <w:pStyle w:val="Text"/>
        <w:spacing w:line="276" w:lineRule="auto"/>
      </w:pPr>
      <w:r>
        <w:t xml:space="preserve">A solução ecologicamente correta, preparada para o futuro e segura para investimentos que a BENNINGHOVEN apresenta para esses supostos conflitos de </w:t>
      </w:r>
      <w:r>
        <w:lastRenderedPageBreak/>
        <w:t>interesse é o produtor de gás quente. Com ele, o material reciclado – tal como o</w:t>
      </w:r>
      <w:r w:rsidR="00930907">
        <w:t> </w:t>
      </w:r>
      <w:r>
        <w:t>mineral branco – é aquecido por um queimador EVO JET, no entanto indiretamente, num tambor de reciclagem em processo de contracorrente. Dependendo da qualidade do material de reciclagem utilizado, podem ser adicionadas quantidades de até mais de 90</w:t>
      </w:r>
      <w:r w:rsidR="00930907">
        <w:t> </w:t>
      </w:r>
      <w:r>
        <w:t>%.</w:t>
      </w:r>
    </w:p>
    <w:p w:rsidR="00F46C83" w:rsidRPr="009B0EC1" w:rsidRDefault="00F46C83" w:rsidP="00F46C83">
      <w:pPr>
        <w:pStyle w:val="Text"/>
        <w:spacing w:line="276" w:lineRule="auto"/>
      </w:pPr>
    </w:p>
    <w:p w:rsidR="00F46C83" w:rsidRPr="009B0EC1" w:rsidRDefault="00F46C83" w:rsidP="00F46C83">
      <w:pPr>
        <w:pStyle w:val="Text"/>
        <w:spacing w:line="276" w:lineRule="auto"/>
        <w:rPr>
          <w:b/>
        </w:rPr>
      </w:pPr>
      <w:r>
        <w:rPr>
          <w:b/>
        </w:rPr>
        <w:t>Processamento de asfalto reciclado com eficiência energética e respeito ao meio ambiente</w:t>
      </w:r>
    </w:p>
    <w:p w:rsidR="00F46C83" w:rsidRDefault="00F46C83" w:rsidP="00F46C83">
      <w:pPr>
        <w:pStyle w:val="Text"/>
        <w:spacing w:line="276" w:lineRule="auto"/>
      </w:pPr>
      <w:r>
        <w:t>Ao contrário dos clássicos tambores paralelos de reciclagem, o aquecimento indireto a gás quente utiliza tambores de reciclagem em contracorrente através dos quais o material é transportado contra a fonte de calor. Assim, a temperatura de saída de 160</w:t>
      </w:r>
      <w:r w:rsidR="001D72C7">
        <w:t> °C</w:t>
      </w:r>
      <w:r>
        <w:t xml:space="preserve"> corresponde à temperatura de processamento adicional, a temperatura do gás de escape é apenas cerca de 100</w:t>
      </w:r>
      <w:r w:rsidR="001D72C7">
        <w:t> °C</w:t>
      </w:r>
      <w:r>
        <w:t>, mas está acima do ponto de orvalho. Isso resulta em vantagens centrais relacionadas ao processo para as entidades operadoras de instalações de mistura de asfalto: No processo clássico de reciclagem de corrente contínua, a temperatura é limitada a 130</w:t>
      </w:r>
      <w:r w:rsidR="001D72C7">
        <w:t> °C</w:t>
      </w:r>
      <w:r>
        <w:t xml:space="preserve"> devido às emissões de gases de escape resultantes, mas as temperaturas dos gases de escape são fisicamente mais elevadas, o que leva a um maior consumo de energia e maior carga de despoeiramento. Para alcançar uma temperatura de mistura de 160</w:t>
      </w:r>
      <w:r w:rsidR="001D72C7">
        <w:t> °C</w:t>
      </w:r>
      <w:r>
        <w:t xml:space="preserve">, o mineral branco deve ser superaquecido. </w:t>
      </w:r>
    </w:p>
    <w:p w:rsidR="00F46C83" w:rsidRDefault="00F46C83" w:rsidP="00F46C83">
      <w:pPr>
        <w:pStyle w:val="Text"/>
        <w:spacing w:line="276" w:lineRule="auto"/>
      </w:pPr>
    </w:p>
    <w:p w:rsidR="00F46C83" w:rsidRDefault="00F46C83" w:rsidP="00F46C83">
      <w:pPr>
        <w:pStyle w:val="Text"/>
        <w:spacing w:line="276" w:lineRule="auto"/>
      </w:pPr>
      <w:r>
        <w:t>O queimador EVO JET pode ser acionado, como de costume, com diferentes combustíveis e fornece a energia térmica necessária para secar e aquecer os materiais reciclados. O ar quente gerado também é intensamente misturado em princípio de contracorrente com o ar circulante. Os hidrocarbonetos (</w:t>
      </w:r>
      <w:r w:rsidR="00886F89">
        <w:t>“cges”</w:t>
      </w:r>
      <w:r>
        <w:t>), que se originam do ar circulante, são quase completamente eliminados.</w:t>
      </w:r>
    </w:p>
    <w:p w:rsidR="00F46C83" w:rsidRDefault="00F46C83" w:rsidP="00F46C83">
      <w:pPr>
        <w:pStyle w:val="Text"/>
        <w:spacing w:line="276" w:lineRule="auto"/>
      </w:pPr>
    </w:p>
    <w:p w:rsidR="00F46C83" w:rsidRPr="00930907" w:rsidRDefault="00F46C83" w:rsidP="00F46C83">
      <w:pPr>
        <w:pStyle w:val="Text"/>
        <w:spacing w:line="276" w:lineRule="auto"/>
        <w:rPr>
          <w:spacing w:val="-2"/>
        </w:rPr>
      </w:pPr>
      <w:r w:rsidRPr="00930907">
        <w:rPr>
          <w:spacing w:val="-2"/>
        </w:rPr>
        <w:t>O gerador de gás quente BENNINGHOVEN é, portanto, uma contribuição eficaz para a eficiência energética, para a rentabilidade e para a ativa proteção do meio ambiente.</w:t>
      </w:r>
    </w:p>
    <w:p w:rsidR="00F46C83" w:rsidRDefault="00F46C83" w:rsidP="00F46C83">
      <w:pPr>
        <w:pStyle w:val="Text"/>
        <w:spacing w:line="276" w:lineRule="auto"/>
        <w:rPr>
          <w:b/>
        </w:rPr>
      </w:pPr>
    </w:p>
    <w:p w:rsidR="00F46C83" w:rsidRDefault="00F46C83" w:rsidP="00F46C83">
      <w:pPr>
        <w:pStyle w:val="Text"/>
        <w:spacing w:line="276" w:lineRule="auto"/>
        <w:rPr>
          <w:b/>
        </w:rPr>
      </w:pPr>
    </w:p>
    <w:p w:rsidR="00F46C83" w:rsidRDefault="00F46C83" w:rsidP="00F46C83">
      <w:pPr>
        <w:pStyle w:val="Text"/>
        <w:spacing w:line="276" w:lineRule="auto"/>
        <w:rPr>
          <w:b/>
        </w:rPr>
      </w:pPr>
      <w:r>
        <w:rPr>
          <w:b/>
        </w:rPr>
        <w:t>Destaques do gerador de gás quente BENNINGHOVEN:</w:t>
      </w:r>
    </w:p>
    <w:p w:rsidR="00F46C83" w:rsidRPr="00F46C83" w:rsidRDefault="00F46C83" w:rsidP="00F46C83">
      <w:pPr>
        <w:pStyle w:val="Text"/>
        <w:spacing w:line="276" w:lineRule="auto"/>
        <w:rPr>
          <w:b/>
        </w:rPr>
      </w:pPr>
    </w:p>
    <w:p w:rsidR="00F46C83" w:rsidRDefault="00F46C83" w:rsidP="00F46C83">
      <w:pPr>
        <w:pStyle w:val="Text"/>
        <w:numPr>
          <w:ilvl w:val="0"/>
          <w:numId w:val="29"/>
        </w:numPr>
        <w:spacing w:line="276" w:lineRule="auto"/>
      </w:pPr>
      <w:r>
        <w:t>Rentabilidade: A taxa de adição de reciclagem pode ser significativamente aumentada – dependendo da qualidade, para mais de 90</w:t>
      </w:r>
      <w:r w:rsidR="00930907">
        <w:t> </w:t>
      </w:r>
      <w:r>
        <w:t>+</w:t>
      </w:r>
      <w:r w:rsidR="00930907">
        <w:t> </w:t>
      </w:r>
      <w:r>
        <w:t>X</w:t>
      </w:r>
      <w:r w:rsidR="00930907">
        <w:t> </w:t>
      </w:r>
      <w:r>
        <w:t>%. Isso representa um verdadeiro valor agregado.</w:t>
      </w:r>
    </w:p>
    <w:p w:rsidR="00F46C83" w:rsidRDefault="00F46C83" w:rsidP="00F46C83">
      <w:pPr>
        <w:pStyle w:val="Text"/>
        <w:spacing w:line="276" w:lineRule="auto"/>
      </w:pPr>
    </w:p>
    <w:p w:rsidR="00F46C83" w:rsidRDefault="00F46C83" w:rsidP="00F46C83">
      <w:pPr>
        <w:pStyle w:val="Text"/>
        <w:numPr>
          <w:ilvl w:val="0"/>
          <w:numId w:val="29"/>
        </w:numPr>
        <w:spacing w:line="276" w:lineRule="auto"/>
      </w:pPr>
      <w:r>
        <w:t>Eficiência energética: A necessidade total de energia para operar o sistema é</w:t>
      </w:r>
      <w:r w:rsidR="00930907">
        <w:t> </w:t>
      </w:r>
      <w:r>
        <w:t xml:space="preserve">reduzida. </w:t>
      </w:r>
    </w:p>
    <w:p w:rsidR="00F46C83" w:rsidRDefault="00F46C83" w:rsidP="00F46C83">
      <w:pPr>
        <w:pStyle w:val="Text"/>
        <w:spacing w:line="276" w:lineRule="auto"/>
      </w:pPr>
    </w:p>
    <w:p w:rsidR="00F46C83" w:rsidRDefault="00F46C83" w:rsidP="00F46C83">
      <w:pPr>
        <w:pStyle w:val="Text"/>
        <w:numPr>
          <w:ilvl w:val="0"/>
          <w:numId w:val="29"/>
        </w:numPr>
        <w:spacing w:line="276" w:lineRule="auto"/>
      </w:pPr>
      <w:r>
        <w:t>Compatibilidade ambiental: Com a aplicação de um gerador de gás quente, os valores de emissão se encontram nitidamente abaixo da faixa normal. (cumpre os requisitos de ar TA (Regulamentos alemães de limpeza de ar)</w:t>
      </w:r>
    </w:p>
    <w:p w:rsidR="00404E54" w:rsidRDefault="00404E54" w:rsidP="005466D6">
      <w:pPr>
        <w:pStyle w:val="Text"/>
        <w:spacing w:line="276" w:lineRule="auto"/>
      </w:pPr>
    </w:p>
    <w:p w:rsidR="00404E54" w:rsidRDefault="00404E54" w:rsidP="005466D6">
      <w:pPr>
        <w:pStyle w:val="Text"/>
        <w:spacing w:line="276" w:lineRule="auto"/>
      </w:pPr>
    </w:p>
    <w:p w:rsidR="002B5FF2" w:rsidRDefault="002B5FF2" w:rsidP="005466D6">
      <w:pPr>
        <w:pStyle w:val="Text"/>
        <w:spacing w:line="276" w:lineRule="auto"/>
        <w:rPr>
          <w:rStyle w:val="Hervorhebung"/>
        </w:rPr>
      </w:pPr>
    </w:p>
    <w:tbl>
      <w:tblPr>
        <w:tblStyle w:val="Basic"/>
        <w:tblW w:w="0" w:type="auto"/>
        <w:tblCellSpacing w:w="71" w:type="dxa"/>
        <w:tblLook w:val="04A0" w:firstRow="1" w:lastRow="0" w:firstColumn="1" w:lastColumn="0" w:noHBand="0" w:noVBand="1"/>
      </w:tblPr>
      <w:tblGrid>
        <w:gridCol w:w="5104"/>
        <w:gridCol w:w="4704"/>
      </w:tblGrid>
      <w:tr w:rsidR="00D166AC" w:rsidTr="00411224">
        <w:trPr>
          <w:cnfStyle w:val="100000000000" w:firstRow="1" w:lastRow="0" w:firstColumn="0" w:lastColumn="0" w:oddVBand="0" w:evenVBand="0" w:oddHBand="0" w:evenHBand="0" w:firstRowFirstColumn="0" w:firstRowLastColumn="0" w:lastRowFirstColumn="0" w:lastRowLastColumn="0"/>
          <w:tblCellSpacing w:w="71" w:type="dxa"/>
        </w:trPr>
        <w:tc>
          <w:tcPr>
            <w:tcW w:w="4891" w:type="dxa"/>
            <w:tcBorders>
              <w:right w:val="single" w:sz="4" w:space="0" w:color="auto"/>
            </w:tcBorders>
          </w:tcPr>
          <w:p w:rsidR="00F631EC" w:rsidRDefault="00404E54" w:rsidP="00D166AC">
            <w:r>
              <w:rPr>
                <w:noProof/>
              </w:rPr>
              <w:drawing>
                <wp:inline distT="0" distB="0" distL="0" distR="0" wp14:anchorId="4C4D28C7" wp14:editId="47222778">
                  <wp:extent cx="2979683" cy="1922571"/>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985318" cy="1926207"/>
                          </a:xfrm>
                          <a:prstGeom prst="rect">
                            <a:avLst/>
                          </a:prstGeom>
                        </pic:spPr>
                      </pic:pic>
                    </a:graphicData>
                  </a:graphic>
                </wp:inline>
              </w:drawing>
            </w:r>
          </w:p>
          <w:p w:rsidR="00F631EC" w:rsidRDefault="00F631EC" w:rsidP="00D166AC"/>
          <w:p w:rsidR="00F631EC" w:rsidRDefault="00F631EC" w:rsidP="00D166AC"/>
          <w:p w:rsidR="00411224" w:rsidRDefault="00411224" w:rsidP="00D166AC"/>
          <w:p w:rsidR="00F631EC" w:rsidRDefault="00404E54" w:rsidP="00D166AC">
            <w:r>
              <w:rPr>
                <w:noProof/>
              </w:rPr>
              <w:drawing>
                <wp:inline distT="0" distB="0" distL="0" distR="0" wp14:anchorId="5537DDFF" wp14:editId="5B4C5F18">
                  <wp:extent cx="2979683" cy="2126580"/>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985885" cy="2131006"/>
                          </a:xfrm>
                          <a:prstGeom prst="rect">
                            <a:avLst/>
                          </a:prstGeom>
                        </pic:spPr>
                      </pic:pic>
                    </a:graphicData>
                  </a:graphic>
                </wp:inline>
              </w:drawing>
            </w:r>
          </w:p>
          <w:p w:rsidR="00F631EC" w:rsidRDefault="00F631EC" w:rsidP="00D166AC"/>
          <w:p w:rsidR="00F631EC" w:rsidRDefault="00F631EC" w:rsidP="00D166AC"/>
          <w:p w:rsidR="007E77C8" w:rsidRDefault="00404E54" w:rsidP="00D166AC">
            <w:r>
              <w:rPr>
                <w:noProof/>
              </w:rPr>
              <w:drawing>
                <wp:inline distT="0" distB="0" distL="0" distR="0" wp14:anchorId="1BE9054C" wp14:editId="557CE576">
                  <wp:extent cx="2979683" cy="2487399"/>
                  <wp:effectExtent l="0" t="0" r="0" b="825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011665" cy="2514097"/>
                          </a:xfrm>
                          <a:prstGeom prst="rect">
                            <a:avLst/>
                          </a:prstGeom>
                        </pic:spPr>
                      </pic:pic>
                    </a:graphicData>
                  </a:graphic>
                </wp:inline>
              </w:drawing>
            </w:r>
          </w:p>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832444" w:rsidP="00D166AC">
            <w:r>
              <w:rPr>
                <w:noProof/>
              </w:rPr>
              <w:lastRenderedPageBreak/>
              <mc:AlternateContent>
                <mc:Choice Requires="wps">
                  <w:drawing>
                    <wp:anchor distT="0" distB="0" distL="114300" distR="114300" simplePos="0" relativeHeight="251665408" behindDoc="0" locked="0" layoutInCell="1" allowOverlap="1" wp14:anchorId="027F6079" wp14:editId="6BA4B3A2">
                      <wp:simplePos x="0" y="0"/>
                      <wp:positionH relativeFrom="column">
                        <wp:posOffset>1191895</wp:posOffset>
                      </wp:positionH>
                      <wp:positionV relativeFrom="paragraph">
                        <wp:posOffset>1113790</wp:posOffset>
                      </wp:positionV>
                      <wp:extent cx="179705" cy="179705"/>
                      <wp:effectExtent l="0" t="0" r="10795" b="10795"/>
                      <wp:wrapNone/>
                      <wp:docPr id="19" name="Ellipse 19"/>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7F6079" id="Ellipse 19" o:spid="_x0000_s1026" style="position:absolute;margin-left:93.85pt;margin-top:87.7pt;width:14.15pt;height:14.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4</w:t>
                            </w:r>
                          </w:p>
                        </w:txbxContent>
                      </v:textbox>
                    </v:oval>
                  </w:pict>
                </mc:Fallback>
              </mc:AlternateContent>
            </w:r>
            <w:r>
              <w:rPr>
                <w:noProof/>
              </w:rPr>
              <mc:AlternateContent>
                <mc:Choice Requires="wps">
                  <w:drawing>
                    <wp:anchor distT="0" distB="0" distL="114300" distR="114300" simplePos="0" relativeHeight="251659264" behindDoc="0" locked="0" layoutInCell="1" allowOverlap="1" wp14:anchorId="5B753FB9" wp14:editId="3C1A7FCA">
                      <wp:simplePos x="0" y="0"/>
                      <wp:positionH relativeFrom="column">
                        <wp:posOffset>2319020</wp:posOffset>
                      </wp:positionH>
                      <wp:positionV relativeFrom="paragraph">
                        <wp:posOffset>480060</wp:posOffset>
                      </wp:positionV>
                      <wp:extent cx="179705" cy="179705"/>
                      <wp:effectExtent l="0" t="0" r="10795" b="10795"/>
                      <wp:wrapNone/>
                      <wp:docPr id="8" name="Ellipse 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chemeClr val="tx2"/>
                              </a:solid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53621" w:rsidRDefault="00C53621" w:rsidP="00C53621">
                                  <w:pPr>
                                    <w:jc w:val="center"/>
                                  </w:pPr>
                                  <w: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753FB9" id="Ellipse 8" o:spid="_x0000_s1027" style="position:absolute;margin-left:182.6pt;margin-top:37.8pt;width:14.1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" fillcolor="#0062a7 [3215]" strokecolor="white [3212]" strokeweight=".5pt">
                      <v:textbox inset="0,0,0,0">
                        <w:txbxContent>
                          <w:p w:rsidR="00C53621" w:rsidRDefault="00C53621" w:rsidP="00C53621">
                            <w:pPr>
                              <w:jc w:val="center"/>
                            </w:pPr>
                            <w:r>
                              <w:t>1</w:t>
                            </w:r>
                          </w:p>
                        </w:txbxContent>
                      </v:textbox>
                    </v:oval>
                  </w:pict>
                </mc:Fallback>
              </mc:AlternateContent>
            </w:r>
            <w:r>
              <w:rPr>
                <w:noProof/>
              </w:rPr>
              <mc:AlternateContent>
                <mc:Choice Requires="wps">
                  <w:drawing>
                    <wp:anchor distT="0" distB="0" distL="114300" distR="114300" simplePos="0" relativeHeight="251661312" behindDoc="0" locked="0" layoutInCell="1" allowOverlap="1" wp14:anchorId="5FA52B38" wp14:editId="5E77DE15">
                      <wp:simplePos x="0" y="0"/>
                      <wp:positionH relativeFrom="column">
                        <wp:posOffset>1915795</wp:posOffset>
                      </wp:positionH>
                      <wp:positionV relativeFrom="paragraph">
                        <wp:posOffset>474345</wp:posOffset>
                      </wp:positionV>
                      <wp:extent cx="179705" cy="179705"/>
                      <wp:effectExtent l="0" t="0" r="10795" b="10795"/>
                      <wp:wrapNone/>
                      <wp:docPr id="13" name="Ellipse 13"/>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A52B38" id="Ellipse 13" o:spid="_x0000_s1028" style="position:absolute;margin-left:150.85pt;margin-top:37.35pt;width:14.15pt;height:1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2</w:t>
                            </w:r>
                          </w:p>
                        </w:txbxContent>
                      </v:textbox>
                    </v:oval>
                  </w:pict>
                </mc:Fallback>
              </mc:AlternateContent>
            </w:r>
            <w:r>
              <w:rPr>
                <w:noProof/>
              </w:rPr>
              <mc:AlternateContent>
                <mc:Choice Requires="wps">
                  <w:drawing>
                    <wp:anchor distT="0" distB="0" distL="114300" distR="114300" simplePos="0" relativeHeight="251663360" behindDoc="0" locked="0" layoutInCell="1" allowOverlap="1" wp14:anchorId="378FA432" wp14:editId="1C9AE077">
                      <wp:simplePos x="0" y="0"/>
                      <wp:positionH relativeFrom="column">
                        <wp:posOffset>1282065</wp:posOffset>
                      </wp:positionH>
                      <wp:positionV relativeFrom="paragraph">
                        <wp:posOffset>812165</wp:posOffset>
                      </wp:positionV>
                      <wp:extent cx="179705" cy="179705"/>
                      <wp:effectExtent l="0" t="0" r="10795" b="10795"/>
                      <wp:wrapNone/>
                      <wp:docPr id="18" name="Ellipse 1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8FA432" id="Ellipse 18" o:spid="_x0000_s1029" style="position:absolute;margin-left:100.95pt;margin-top:63.95pt;width:14.15pt;height:14.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3</w:t>
                            </w:r>
                          </w:p>
                        </w:txbxContent>
                      </v:textbox>
                    </v:oval>
                  </w:pict>
                </mc:Fallback>
              </mc:AlternateContent>
            </w:r>
            <w:r>
              <w:rPr>
                <w:noProof/>
              </w:rPr>
              <w:drawing>
                <wp:inline distT="0" distB="0" distL="0" distR="0" wp14:anchorId="7CA207F3" wp14:editId="6F17E37F">
                  <wp:extent cx="2979861" cy="1939159"/>
                  <wp:effectExtent l="0" t="0" r="0" b="444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85968" cy="1943133"/>
                          </a:xfrm>
                          <a:prstGeom prst="rect">
                            <a:avLst/>
                          </a:prstGeom>
                        </pic:spPr>
                      </pic:pic>
                    </a:graphicData>
                  </a:graphic>
                </wp:inline>
              </w:drawing>
            </w:r>
          </w:p>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Pr="00D166AC" w:rsidRDefault="00714407" w:rsidP="00D166AC">
            <w:r>
              <w:rPr>
                <w:noProof/>
              </w:rPr>
              <w:drawing>
                <wp:inline distT="0" distB="0" distL="0" distR="0" wp14:anchorId="5E21BD7F" wp14:editId="3835B9AE">
                  <wp:extent cx="2992437" cy="183408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92800" cy="1834307"/>
                          </a:xfrm>
                          <a:prstGeom prst="rect">
                            <a:avLst/>
                          </a:prstGeom>
                        </pic:spPr>
                      </pic:pic>
                    </a:graphicData>
                  </a:graphic>
                </wp:inline>
              </w:drawing>
            </w:r>
          </w:p>
        </w:tc>
        <w:tc>
          <w:tcPr>
            <w:tcW w:w="4491" w:type="dxa"/>
          </w:tcPr>
          <w:p w:rsidR="006D25C0" w:rsidRPr="006D25C0" w:rsidRDefault="007E77C8" w:rsidP="006D25C0">
            <w:pPr>
              <w:pStyle w:val="berschrift3"/>
              <w:outlineLvl w:val="2"/>
            </w:pPr>
            <w:r>
              <w:lastRenderedPageBreak/>
              <w:t>Instalação de mistura de asfalto transportável do tipo TBA</w:t>
            </w:r>
          </w:p>
          <w:p w:rsidR="00D166AC" w:rsidRDefault="00CE00F6" w:rsidP="00493F01">
            <w:pPr>
              <w:jc w:val="both"/>
              <w:rPr>
                <w:sz w:val="20"/>
              </w:rPr>
            </w:pPr>
            <w:r>
              <w:rPr>
                <w:sz w:val="20"/>
              </w:rPr>
              <w:t>Instalação com misturador de 4</w:t>
            </w:r>
            <w:r w:rsidR="00930907">
              <w:rPr>
                <w:sz w:val="20"/>
              </w:rPr>
              <w:t> </w:t>
            </w:r>
            <w:r>
              <w:rPr>
                <w:sz w:val="20"/>
              </w:rPr>
              <w:t>t e com uma capacidade de mistura de até 320</w:t>
            </w:r>
            <w:r w:rsidR="00930907">
              <w:rPr>
                <w:sz w:val="20"/>
              </w:rPr>
              <w:t> </w:t>
            </w:r>
            <w:r>
              <w:rPr>
                <w:sz w:val="20"/>
              </w:rPr>
              <w:t>t/h e com um silo de carregamento de 194</w:t>
            </w:r>
            <w:r w:rsidR="00930907">
              <w:rPr>
                <w:sz w:val="20"/>
              </w:rPr>
              <w:t> </w:t>
            </w:r>
            <w:r>
              <w:rPr>
                <w:sz w:val="20"/>
              </w:rPr>
              <w:t>t.</w:t>
            </w: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F631EC" w:rsidRDefault="00F631EC" w:rsidP="001822F7">
            <w:pPr>
              <w:pStyle w:val="berschrift3"/>
              <w:outlineLvl w:val="2"/>
            </w:pPr>
          </w:p>
          <w:p w:rsidR="00F631EC" w:rsidRDefault="00F631EC" w:rsidP="001822F7">
            <w:pPr>
              <w:pStyle w:val="berschrift3"/>
              <w:outlineLvl w:val="2"/>
            </w:pPr>
          </w:p>
          <w:p w:rsidR="00F631EC" w:rsidRDefault="00F631EC" w:rsidP="001822F7">
            <w:pPr>
              <w:pStyle w:val="berschrift3"/>
              <w:outlineLvl w:val="2"/>
            </w:pPr>
          </w:p>
          <w:p w:rsidR="00F631EC" w:rsidRDefault="00F631EC" w:rsidP="00F631EC">
            <w:pPr>
              <w:jc w:val="both"/>
              <w:rPr>
                <w:sz w:val="20"/>
              </w:rPr>
            </w:pPr>
          </w:p>
          <w:p w:rsidR="007E77C8" w:rsidRDefault="007E77C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Pr="009B0EC1" w:rsidRDefault="000C7C24" w:rsidP="00493F01">
            <w:pPr>
              <w:jc w:val="both"/>
              <w:rPr>
                <w:sz w:val="20"/>
              </w:rPr>
            </w:pPr>
            <w:r>
              <w:rPr>
                <w:sz w:val="20"/>
              </w:rPr>
              <w:lastRenderedPageBreak/>
              <w:t>Tambor de reciclagem no princípio de contracorrente, com gerador de gás quente</w:t>
            </w:r>
          </w:p>
          <w:p w:rsidR="00FB47F8" w:rsidRPr="009B0EC1" w:rsidRDefault="00FB47F8" w:rsidP="00493F01">
            <w:pPr>
              <w:jc w:val="both"/>
              <w:rPr>
                <w:sz w:val="20"/>
              </w:rPr>
            </w:pPr>
          </w:p>
          <w:p w:rsidR="00FB47F8" w:rsidRPr="009B0EC1" w:rsidRDefault="00411224" w:rsidP="00493F01">
            <w:pPr>
              <w:jc w:val="both"/>
              <w:rPr>
                <w:sz w:val="20"/>
              </w:rPr>
            </w:pPr>
            <w:r>
              <w:rPr>
                <w:sz w:val="20"/>
              </w:rPr>
              <w:t>Modo de funcionamento</w:t>
            </w:r>
          </w:p>
          <w:p w:rsidR="00411224" w:rsidRPr="00930907" w:rsidRDefault="00411224" w:rsidP="00411224">
            <w:pPr>
              <w:pStyle w:val="Listenabsatz"/>
              <w:numPr>
                <w:ilvl w:val="0"/>
                <w:numId w:val="31"/>
              </w:numPr>
              <w:jc w:val="both"/>
              <w:rPr>
                <w:spacing w:val="-2"/>
                <w:sz w:val="20"/>
              </w:rPr>
            </w:pPr>
            <w:r w:rsidRPr="00930907">
              <w:rPr>
                <w:spacing w:val="-2"/>
                <w:sz w:val="20"/>
              </w:rPr>
              <w:t>O queimador está aceso no gerador de gás quente e aquece intensamente o ar circulante, também no princípio de contracorrente</w:t>
            </w:r>
          </w:p>
          <w:p w:rsidR="00411224" w:rsidRPr="009B0EC1" w:rsidRDefault="00411224" w:rsidP="00411224">
            <w:pPr>
              <w:pStyle w:val="Listenabsatz"/>
              <w:jc w:val="both"/>
              <w:rPr>
                <w:sz w:val="20"/>
              </w:rPr>
            </w:pPr>
          </w:p>
          <w:p w:rsidR="00411224" w:rsidRPr="009B0EC1" w:rsidRDefault="00411224" w:rsidP="00411224">
            <w:pPr>
              <w:pStyle w:val="Listenabsatz"/>
              <w:numPr>
                <w:ilvl w:val="0"/>
                <w:numId w:val="31"/>
              </w:numPr>
              <w:jc w:val="both"/>
              <w:rPr>
                <w:sz w:val="20"/>
              </w:rPr>
            </w:pPr>
            <w:r>
              <w:rPr>
                <w:sz w:val="20"/>
              </w:rPr>
              <w:t>Aquecimento indireto do material a ser reciclado no tambor de reciclagem através do ar quente – sem contacto com a chama</w:t>
            </w:r>
          </w:p>
          <w:p w:rsidR="00411224" w:rsidRPr="009B0EC1" w:rsidRDefault="00411224" w:rsidP="00411224">
            <w:pPr>
              <w:jc w:val="both"/>
              <w:rPr>
                <w:sz w:val="20"/>
              </w:rPr>
            </w:pPr>
          </w:p>
          <w:p w:rsidR="00411224" w:rsidRPr="00930907" w:rsidRDefault="00411224" w:rsidP="00411224">
            <w:pPr>
              <w:pStyle w:val="Listenabsatz"/>
              <w:numPr>
                <w:ilvl w:val="0"/>
                <w:numId w:val="31"/>
              </w:numPr>
              <w:jc w:val="both"/>
              <w:rPr>
                <w:sz w:val="20"/>
              </w:rPr>
            </w:pPr>
            <w:r w:rsidRPr="00930907">
              <w:rPr>
                <w:sz w:val="20"/>
              </w:rPr>
              <w:t>No tambor de reciclagem, o material a ser reciclado é cuidadosamente aquecido em contracorrente, enquanto os gases em movimento contrário se esfriam</w:t>
            </w:r>
          </w:p>
          <w:p w:rsidR="00411224" w:rsidRPr="00411224" w:rsidRDefault="00411224" w:rsidP="00411224">
            <w:pPr>
              <w:pStyle w:val="Listenabsatz"/>
              <w:rPr>
                <w:sz w:val="20"/>
              </w:rPr>
            </w:pPr>
          </w:p>
          <w:p w:rsidR="00411224" w:rsidRPr="00411224" w:rsidRDefault="00411224" w:rsidP="00411224">
            <w:pPr>
              <w:pStyle w:val="Listenabsatz"/>
              <w:numPr>
                <w:ilvl w:val="0"/>
                <w:numId w:val="31"/>
              </w:numPr>
              <w:jc w:val="both"/>
              <w:rPr>
                <w:sz w:val="20"/>
              </w:rPr>
            </w:pPr>
            <w:r>
              <w:rPr>
                <w:sz w:val="20"/>
              </w:rPr>
              <w:t>O material aquecido até a temperatura final passa diretamente para os silos de armazenamento ou é fornecido ao misturador</w:t>
            </w:r>
          </w:p>
          <w:p w:rsidR="00FB47F8" w:rsidRDefault="00FB47F8" w:rsidP="00493F01">
            <w:pPr>
              <w:jc w:val="both"/>
              <w:rPr>
                <w:sz w:val="20"/>
              </w:rPr>
            </w:pPr>
          </w:p>
          <w:p w:rsidR="00FB47F8" w:rsidRDefault="00FB47F8" w:rsidP="00493F01">
            <w:pPr>
              <w:jc w:val="both"/>
              <w:rPr>
                <w:sz w:val="20"/>
              </w:rPr>
            </w:pPr>
          </w:p>
          <w:p w:rsidR="00714407" w:rsidRPr="00714407" w:rsidRDefault="00714407" w:rsidP="00714407">
            <w:pPr>
              <w:jc w:val="both"/>
              <w:rPr>
                <w:b/>
                <w:sz w:val="20"/>
              </w:rPr>
            </w:pPr>
            <w:r>
              <w:rPr>
                <w:b/>
                <w:sz w:val="20"/>
              </w:rPr>
              <w:t>Gerador de gás quente – Isolamento do queimador</w:t>
            </w:r>
          </w:p>
          <w:p w:rsidR="00FB47F8" w:rsidRPr="00930907" w:rsidRDefault="00714407" w:rsidP="00E770E8">
            <w:pPr>
              <w:jc w:val="both"/>
              <w:rPr>
                <w:sz w:val="20"/>
              </w:rPr>
            </w:pPr>
            <w:r w:rsidRPr="00930907">
              <w:rPr>
                <w:sz w:val="20"/>
              </w:rPr>
              <w:t>Consoante o estado de funcionamento, o</w:t>
            </w:r>
            <w:r w:rsidR="00930907" w:rsidRPr="00930907">
              <w:rPr>
                <w:sz w:val="20"/>
              </w:rPr>
              <w:t> </w:t>
            </w:r>
            <w:r w:rsidRPr="00930907">
              <w:rPr>
                <w:sz w:val="20"/>
              </w:rPr>
              <w:t>queimador no seu chassi desloca-se automaticamente para a frente e para trás. De seguida, uma barreira se desloca para dentro ou para fora. Este procedimento foi especialmente desenvolvido para o queimador não ser danificado após a desativação da combustão. Devido ao efeito de chaminé e, consequentemente, à subida de ar quente do tambor de reciclagem, o</w:t>
            </w:r>
            <w:r w:rsidR="00930907">
              <w:rPr>
                <w:sz w:val="20"/>
              </w:rPr>
              <w:t> </w:t>
            </w:r>
            <w:r w:rsidRPr="00930907">
              <w:rPr>
                <w:sz w:val="20"/>
              </w:rPr>
              <w:t>queimador estaria desprotegido. Quando o queimador é reativado, a barreira se desloca para fora e toda a unidade regressa à posição de operação.</w:t>
            </w:r>
          </w:p>
        </w:tc>
      </w:tr>
    </w:tbl>
    <w:p w:rsidR="00D166AC" w:rsidRDefault="00D166AC" w:rsidP="00D166AC">
      <w:pPr>
        <w:pStyle w:val="Text"/>
      </w:pPr>
    </w:p>
    <w:p w:rsidR="00FB47F8" w:rsidRDefault="00FB47F8" w:rsidP="00D166AC">
      <w:pPr>
        <w:pStyle w:val="Text"/>
      </w:pPr>
    </w:p>
    <w:p w:rsidR="00FB47F8" w:rsidRDefault="00FB47F8" w:rsidP="00D166AC">
      <w:pPr>
        <w:pStyle w:val="Text"/>
      </w:pPr>
    </w:p>
    <w:p w:rsidR="00493F01" w:rsidRDefault="00493F01" w:rsidP="00D166AC">
      <w:pPr>
        <w:pStyle w:val="Text"/>
      </w:pPr>
    </w:p>
    <w:p w:rsidR="00F631EC" w:rsidRDefault="00F631EC" w:rsidP="00D166AC">
      <w:pPr>
        <w:pStyle w:val="Text"/>
      </w:pPr>
    </w:p>
    <w:p w:rsidR="00F631EC" w:rsidRDefault="00F631EC"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930907" w:rsidRDefault="00930907" w:rsidP="00D166AC">
      <w:pPr>
        <w:pStyle w:val="Text"/>
      </w:pPr>
      <w:r>
        <w:br w:type="page"/>
      </w:r>
    </w:p>
    <w:tbl>
      <w:tblPr>
        <w:tblStyle w:val="Basic"/>
        <w:tblW w:w="0" w:type="auto"/>
        <w:tblLook w:val="04A0" w:firstRow="1" w:lastRow="0" w:firstColumn="1" w:lastColumn="0" w:noHBand="0" w:noVBand="1"/>
      </w:tblPr>
      <w:tblGrid>
        <w:gridCol w:w="4790"/>
        <w:gridCol w:w="4734"/>
      </w:tblGrid>
      <w:tr w:rsidR="00D166AC" w:rsidRPr="006D25C0" w:rsidTr="001C39B0">
        <w:trPr>
          <w:cnfStyle w:val="100000000000" w:firstRow="1" w:lastRow="0" w:firstColumn="0" w:lastColumn="0" w:oddVBand="0" w:evenVBand="0" w:oddHBand="0" w:evenHBand="0" w:firstRowFirstColumn="0" w:firstRowLastColumn="0" w:lastRowFirstColumn="0" w:lastRowLastColumn="0"/>
        </w:trPr>
        <w:tc>
          <w:tcPr>
            <w:tcW w:w="4790" w:type="dxa"/>
            <w:tcBorders>
              <w:right w:val="single" w:sz="48" w:space="0" w:color="FFFFFF" w:themeColor="background1"/>
            </w:tcBorders>
          </w:tcPr>
          <w:p w:rsidR="006D25C0" w:rsidRPr="00493F01" w:rsidRDefault="00493F01" w:rsidP="00930907">
            <w:pPr>
              <w:pStyle w:val="HeadlineKontakte"/>
              <w:rPr>
                <w:szCs w:val="22"/>
              </w:rPr>
            </w:pPr>
            <w:r>
              <w:rPr>
                <w:caps w:val="0"/>
                <w:szCs w:val="22"/>
              </w:rPr>
              <w:lastRenderedPageBreak/>
              <w:t>Demais informações</w:t>
            </w:r>
            <w:r>
              <w:t xml:space="preserve"> </w:t>
            </w:r>
            <w:r w:rsidR="00930907">
              <w:br/>
            </w:r>
            <w:r>
              <w:rPr>
                <w:caps w:val="0"/>
                <w:szCs w:val="22"/>
              </w:rPr>
              <w:t>se encontram em</w:t>
            </w:r>
            <w:r>
              <w:t>:</w:t>
            </w:r>
          </w:p>
          <w:p w:rsidR="006D25C0" w:rsidRPr="00493F01" w:rsidRDefault="006D25C0" w:rsidP="006D25C0">
            <w:pPr>
              <w:pStyle w:val="Text"/>
            </w:pPr>
            <w:r>
              <w:t>BENNINGHOVEN GmbH &amp; Co. KG</w:t>
            </w:r>
          </w:p>
          <w:p w:rsidR="006D25C0" w:rsidRPr="00493F01" w:rsidRDefault="006D25C0" w:rsidP="006D25C0">
            <w:pPr>
              <w:pStyle w:val="Text"/>
            </w:pPr>
            <w:r>
              <w:t>Lars Henrich</w:t>
            </w:r>
          </w:p>
          <w:p w:rsidR="006D25C0" w:rsidRPr="006D25C0" w:rsidRDefault="00B239CB" w:rsidP="006D25C0">
            <w:pPr>
              <w:pStyle w:val="Text"/>
            </w:pPr>
            <w:r>
              <w:t>Benninghovenstraße 1</w:t>
            </w:r>
          </w:p>
          <w:p w:rsidR="006D25C0" w:rsidRPr="006D25C0" w:rsidRDefault="006D25C0" w:rsidP="006D25C0">
            <w:pPr>
              <w:pStyle w:val="Text"/>
            </w:pPr>
            <w:r>
              <w:t>54516 Wittlich</w:t>
            </w:r>
          </w:p>
          <w:p w:rsidR="006D25C0" w:rsidRPr="006D25C0" w:rsidRDefault="006D25C0" w:rsidP="006D25C0">
            <w:pPr>
              <w:pStyle w:val="Text"/>
            </w:pPr>
            <w:r>
              <w:t>Deutschland</w:t>
            </w:r>
          </w:p>
          <w:p w:rsidR="006D25C0" w:rsidRPr="006D25C0" w:rsidRDefault="006D25C0" w:rsidP="006D25C0">
            <w:pPr>
              <w:pStyle w:val="Text"/>
            </w:pPr>
          </w:p>
          <w:p w:rsidR="006D25C0" w:rsidRPr="006D25C0" w:rsidRDefault="006D25C0" w:rsidP="00930907">
            <w:pPr>
              <w:pStyle w:val="Text"/>
              <w:tabs>
                <w:tab w:val="left" w:pos="993"/>
              </w:tabs>
            </w:pPr>
            <w:r>
              <w:t>Telefon:</w:t>
            </w:r>
            <w:r w:rsidR="00930907">
              <w:tab/>
            </w:r>
            <w:r>
              <w:t>+49 6571 6978-5117</w:t>
            </w:r>
          </w:p>
          <w:p w:rsidR="006D25C0" w:rsidRPr="006D25C0" w:rsidRDefault="006D25C0" w:rsidP="00930907">
            <w:pPr>
              <w:pStyle w:val="Text"/>
              <w:tabs>
                <w:tab w:val="left" w:pos="993"/>
              </w:tabs>
            </w:pPr>
            <w:r>
              <w:t>Fax:</w:t>
            </w:r>
            <w:r w:rsidR="00930907">
              <w:tab/>
            </w:r>
            <w:r>
              <w:t>+49 6571 6978-80</w:t>
            </w:r>
            <w:bookmarkStart w:id="0" w:name="_GoBack"/>
            <w:bookmarkEnd w:id="0"/>
            <w:r>
              <w:t>20</w:t>
            </w:r>
          </w:p>
          <w:p w:rsidR="006D25C0" w:rsidRPr="006D25C0" w:rsidRDefault="006D25C0" w:rsidP="006D25C0">
            <w:pPr>
              <w:pStyle w:val="Text"/>
            </w:pPr>
            <w:r>
              <w:t>E-mail: info@benninghoven.com</w:t>
            </w:r>
          </w:p>
          <w:p w:rsidR="00D166AC" w:rsidRPr="006D25C0" w:rsidRDefault="006D25C0" w:rsidP="006D25C0">
            <w:pPr>
              <w:pStyle w:val="Text"/>
            </w:pPr>
            <w:r>
              <w:t>www.benninghoven.com</w:t>
            </w:r>
          </w:p>
        </w:tc>
        <w:tc>
          <w:tcPr>
            <w:tcW w:w="4734" w:type="dxa"/>
            <w:tcBorders>
              <w:left w:val="single" w:sz="48" w:space="0" w:color="FFFFFF" w:themeColor="background1"/>
            </w:tcBorders>
          </w:tcPr>
          <w:p w:rsidR="0034191A" w:rsidRPr="006D25C0" w:rsidRDefault="0034191A" w:rsidP="006D25C0">
            <w:pPr>
              <w:pStyle w:val="Text"/>
            </w:pPr>
          </w:p>
        </w:tc>
      </w:tr>
    </w:tbl>
    <w:p w:rsidR="00D166AC" w:rsidRPr="00D166AC" w:rsidRDefault="00D166AC" w:rsidP="00D166AC">
      <w:pPr>
        <w:pStyle w:val="Text"/>
      </w:pPr>
    </w:p>
    <w:sectPr w:rsidR="00D166AC" w:rsidRPr="00D166AC" w:rsidSect="003A753A">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51F45" w:rsidRDefault="00551F45" w:rsidP="00E55534">
      <w:r>
        <w:separator/>
      </w:r>
    </w:p>
  </w:endnote>
  <w:endnote w:type="continuationSeparator" w:id="0">
    <w:p w:rsidR="00551F45" w:rsidRDefault="00551F4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Basic"/>
      <w:tblpPr w:leftFromText="142" w:rightFromText="142" w:vertAnchor="page" w:horzAnchor="page" w:tblpX="1192" w:tblpY="16217"/>
      <w:tblW w:w="0" w:type="auto"/>
      <w:tblLayout w:type="fixed"/>
      <w:tblLook w:val="04A0" w:firstRow="1" w:lastRow="0" w:firstColumn="1" w:lastColumn="0" w:noHBand="0" w:noVBand="1"/>
    </w:tblPr>
    <w:tblGrid>
      <w:gridCol w:w="8364"/>
      <w:gridCol w:w="1160"/>
    </w:tblGrid>
    <w:sdt>
      <w:sdtPr>
        <w:rPr>
          <w:szCs w:val="16"/>
        </w:rPr>
        <w:id w:val="-214889975"/>
        <w:lock w:val="sdtContentLocked"/>
      </w:sdtPr>
      <w:sdtEndPr/>
      <w:sdtContent>
        <w:tr w:rsidR="00A171F4" w:rsidRPr="008C2DB2" w:rsidTr="0012026F">
          <w:trPr>
            <w:cnfStyle w:val="100000000000" w:firstRow="1" w:lastRow="0" w:firstColumn="0" w:lastColumn="0" w:oddVBand="0" w:evenVBand="0" w:oddHBand="0" w:evenHBand="0" w:firstRowFirstColumn="0" w:firstRowLastColumn="0" w:lastRowFirstColumn="0" w:lastRowLastColumn="0"/>
            <w:trHeight w:hRule="exact" w:val="227"/>
          </w:trPr>
          <w:sdt>
            <w:sdtPr>
              <w:rPr>
                <w:szCs w:val="16"/>
              </w:rPr>
              <w:id w:val="1167366250"/>
              <w:showingPlcHdr/>
            </w:sdtPr>
            <w:sdtEndPr>
              <w:rPr>
                <w:szCs w:val="20"/>
              </w:rPr>
            </w:sdtEndPr>
            <w:sdtContent>
              <w:tc>
                <w:tcPr>
                  <w:tcW w:w="8364" w:type="dxa"/>
                </w:tcPr>
                <w:p w:rsidR="00A171F4" w:rsidRPr="008C2DB2" w:rsidRDefault="00A171F4" w:rsidP="005711A3">
                  <w:pPr>
                    <w:pStyle w:val="Kolumnentitel"/>
                  </w:pPr>
                  <w:r>
                    <w:rPr>
                      <w:rStyle w:val="Platzhaltertext"/>
                    </w:rPr>
                    <w:t xml:space="preserve">     </w:t>
                  </w:r>
                </w:p>
              </w:tc>
            </w:sdtContent>
          </w:sdt>
          <w:tc>
            <w:tcPr>
              <w:tcW w:w="1160" w:type="dxa"/>
            </w:tcPr>
            <w:sdt>
              <w:sdtPr>
                <w:id w:val="-1133938393"/>
              </w:sdtPr>
              <w:sdtEndPr/>
              <w:sdtContent>
                <w:p w:rsidR="00A171F4" w:rsidRPr="008C2DB2" w:rsidRDefault="00A171F4" w:rsidP="0012026F">
                  <w:pPr>
                    <w:pStyle w:val="Seitenzahlen"/>
                  </w:pPr>
                  <w:r w:rsidRPr="008C2DB2">
                    <w:fldChar w:fldCharType="begin"/>
                  </w:r>
                  <w:r>
                    <w:instrText xml:space="preserve"> </w:instrText>
                  </w:r>
                  <w:r w:rsidRPr="008C2DB2">
                    <w:instrText>PAGE \# "00"</w:instrText>
                  </w:r>
                  <w:r w:rsidRPr="008C2DB2">
                    <w:fldChar w:fldCharType="separate"/>
                  </w:r>
                  <w:r w:rsidR="000C7C24">
                    <w:rPr>
                      <w:noProof/>
                    </w:rPr>
                    <w:t>0</w:t>
                  </w:r>
                  <w:r w:rsidR="000C7C24">
                    <w:rPr>
                      <w:noProof/>
                    </w:rPr>
                    <w:t>1</w:t>
                  </w:r>
                  <w:r w:rsidRPr="008C2DB2">
                    <w:fldChar w:fldCharType="end"/>
                  </w:r>
                </w:p>
              </w:sdtContent>
            </w:sdt>
          </w:tc>
        </w:tr>
      </w:sdtContent>
    </w:sdt>
  </w:tbl>
  <w:sdt>
    <w:sdtPr>
      <w:id w:val="-958642266"/>
      <w:lock w:val="sdtContentLocked"/>
    </w:sdtPr>
    <w:sdtEndPr/>
    <w:sdtContent>
      <w:p w:rsidR="00A171F4" w:rsidRDefault="00A171F4">
        <w:pPr>
          <w:pStyle w:val="Fuzeile"/>
        </w:pPr>
        <w:r>
          <w:rPr>
            <w:noProof/>
            <w:lang w:eastAsia="de-DE"/>
          </w:rPr>
          <mc:AlternateContent>
            <mc:Choice Requires="wps">
              <w:drawing>
                <wp:anchor distT="0" distB="0" distL="114300" distR="114300" simplePos="0" relativeHeight="251670528" behindDoc="0" locked="0" layoutInCell="1" allowOverlap="1" wp14:anchorId="3E35EFF8" wp14:editId="3643C7F3">
                  <wp:simplePos x="0" y="0"/>
                  <wp:positionH relativeFrom="page">
                    <wp:posOffset>756285</wp:posOffset>
                  </wp:positionH>
                  <wp:positionV relativeFrom="page">
                    <wp:posOffset>10189210</wp:posOffset>
                  </wp:positionV>
                  <wp:extent cx="6048000" cy="18000"/>
                  <wp:effectExtent l="0" t="0" r="0" b="1270"/>
                  <wp:wrapNone/>
                  <wp:docPr id="12" name="Rechteck 12"/>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F2452D" id="Rechteck 12" o:spid="_x0000_s1026" style="position:absolute;margin-left:59.55pt;margin-top:802.3pt;width:476.2pt;height:1.4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" fillcolor="#0062a7 [3215]" stroked="f" strokeweight="2pt">
                  <w10:wrap anchorx="page" anchory="page"/>
                </v:rect>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Basic"/>
      <w:tblpPr w:leftFromText="142" w:rightFromText="142" w:vertAnchor="page" w:horzAnchor="page" w:tblpX="1192" w:tblpY="15934"/>
      <w:tblOverlap w:val="never"/>
      <w:tblW w:w="0" w:type="auto"/>
      <w:tblLook w:val="04A0" w:firstRow="1" w:lastRow="0" w:firstColumn="1" w:lastColumn="0" w:noHBand="0" w:noVBand="1"/>
    </w:tblPr>
    <w:tblGrid>
      <w:gridCol w:w="9524"/>
    </w:tblGrid>
    <w:sdt>
      <w:sdtPr>
        <w:rPr>
          <w:rStyle w:val="Hervorhebung"/>
          <w:szCs w:val="16"/>
        </w:rPr>
        <w:id w:val="-2088915428"/>
        <w:lock w:val="sdtContentLocked"/>
      </w:sdtPr>
      <w:sdtEndPr>
        <w:rPr>
          <w:rStyle w:val="Absatz-Standardschriftart"/>
          <w:b w:val="0"/>
          <w:iCs w:val="0"/>
        </w:rPr>
      </w:sdtEndPr>
      <w:sdtContent>
        <w:tr w:rsidR="00A171F4" w:rsidTr="0012026F">
          <w:trPr>
            <w:cnfStyle w:val="100000000000" w:firstRow="1" w:lastRow="0" w:firstColumn="0" w:lastColumn="0" w:oddVBand="0" w:evenVBand="0" w:oddHBand="0" w:evenHBand="0" w:firstRowFirstColumn="0" w:firstRowLastColumn="0" w:lastRowFirstColumn="0" w:lastRowLastColumn="0"/>
          </w:trPr>
          <w:tc>
            <w:tcPr>
              <w:tcW w:w="9664" w:type="dxa"/>
            </w:tcPr>
            <w:p w:rsidR="00A171F4" w:rsidRDefault="00A171F4" w:rsidP="0012026F">
              <w:pPr>
                <w:pStyle w:val="Fuzeile"/>
                <w:spacing w:before="96" w:after="96"/>
              </w:pPr>
              <w:r w:rsidRPr="003E1CB6">
                <w:rPr>
                  <w:rStyle w:val="Hervorhebung"/>
                </w:rPr>
                <w:t>WIRTGEN GmbH</w:t>
              </w:r>
              <w:r w:rsidRPr="00CF36C9">
                <w:t xml:space="preserve"> · Reinhard-Wirtgen-Str. 2 · D-53578 Windhagen · T: +49 26 45 / 131 0</w:t>
              </w:r>
            </w:p>
          </w:tc>
        </w:tr>
      </w:sdtContent>
    </w:sdt>
  </w:tbl>
  <w:sdt>
    <w:sdtPr>
      <w:id w:val="-1944752626"/>
      <w:lock w:val="sdtContentLocked"/>
    </w:sdtPr>
    <w:sdtEndPr/>
    <w:sdtContent>
      <w:p w:rsidR="00A171F4" w:rsidRDefault="00A171F4">
        <w:pPr>
          <w:pStyle w:val="Fuzeile"/>
        </w:pPr>
        <w:r>
          <w:rPr>
            <w:noProof/>
            <w:lang w:eastAsia="de-DE"/>
          </w:rPr>
          <mc:AlternateContent>
            <mc:Choice Requires="wps">
              <w:drawing>
                <wp:anchor distT="0" distB="0" distL="114300" distR="114300" simplePos="0" relativeHeight="251662336" behindDoc="0" locked="0" layoutInCell="1" allowOverlap="1" wp14:anchorId="57157764" wp14:editId="6D92112A">
                  <wp:simplePos x="0" y="0"/>
                  <wp:positionH relativeFrom="page">
                    <wp:posOffset>756285</wp:posOffset>
                  </wp:positionH>
                  <wp:positionV relativeFrom="page">
                    <wp:posOffset>10081260</wp:posOffset>
                  </wp:positionV>
                  <wp:extent cx="6048000" cy="18000"/>
                  <wp:effectExtent l="0" t="0" r="0" b="1270"/>
                  <wp:wrapNone/>
                  <wp:docPr id="6" name="Rechteck 6"/>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741FAC" id="Rechteck 6" o:spid="_x0000_s1026" style="position:absolute;margin-left:59.55pt;margin-top:793.8pt;width:476.2pt;height:1.4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" fillcolor="#0062a7 [3215]" stroked="f" strokeweight="2pt">
                  <w10:wrap anchorx="page" anchory="page"/>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51F45" w:rsidRDefault="00551F45" w:rsidP="00E55534">
      <w:r>
        <w:separator/>
      </w:r>
    </w:p>
  </w:footnote>
  <w:footnote w:type="continuationSeparator" w:id="0">
    <w:p w:rsidR="00551F45" w:rsidRDefault="00551F4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4"/>
      </w:rPr>
      <w:id w:val="1105004567"/>
      <w:lock w:val="sdtContentLocked"/>
    </w:sdtPr>
    <w:sdtEndPr/>
    <w:sdtContent>
      <w:p w:rsidR="00A171F4" w:rsidRPr="002E765F" w:rsidRDefault="006D25C0">
        <w:pPr>
          <w:pStyle w:val="Kopfzeile"/>
          <w:rPr>
            <w:noProof/>
            <w:sz w:val="14"/>
            <w:lang w:eastAsia="de-DE"/>
          </w:rPr>
        </w:pPr>
        <w:r>
          <w:rPr>
            <w:noProof/>
            <w:lang w:eastAsia="de-DE"/>
          </w:rPr>
          <w:drawing>
            <wp:anchor distT="0" distB="0" distL="114300" distR="114300" simplePos="0" relativeHeight="251672576" behindDoc="0" locked="0" layoutInCell="1" allowOverlap="1" wp14:anchorId="1AD37280" wp14:editId="3CDC4CA7">
              <wp:simplePos x="0" y="0"/>
              <wp:positionH relativeFrom="page">
                <wp:posOffset>756285</wp:posOffset>
              </wp:positionH>
              <wp:positionV relativeFrom="page">
                <wp:posOffset>288290</wp:posOffset>
              </wp:positionV>
              <wp:extent cx="2574000" cy="28800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74000" cy="288000"/>
                      </a:xfrm>
                      <a:prstGeom prst="rect">
                        <a:avLst/>
                      </a:prstGeom>
                    </pic:spPr>
                  </pic:pic>
                </a:graphicData>
              </a:graphic>
              <wp14:sizeRelH relativeFrom="margin">
                <wp14:pctWidth>0</wp14:pctWidth>
              </wp14:sizeRelH>
              <wp14:sizeRelV relativeFrom="margin">
                <wp14:pctHeight>0</wp14:pctHeight>
              </wp14:sizeRelV>
            </wp:anchor>
          </w:drawing>
        </w:r>
      </w:p>
      <w:tbl>
        <w:tblPr>
          <w:tblStyle w:val="Basic"/>
          <w:tblpPr w:vertAnchor="page" w:horzAnchor="page" w:tblpX="7287" w:tblpY="1379"/>
          <w:tblW w:w="0" w:type="auto"/>
          <w:tblLayout w:type="fixed"/>
          <w:tblLook w:val="04A0" w:firstRow="1" w:lastRow="0" w:firstColumn="1" w:lastColumn="0" w:noHBand="0" w:noVBand="1"/>
        </w:tblPr>
        <w:tblGrid>
          <w:gridCol w:w="3439"/>
        </w:tblGrid>
        <w:tr w:rsidR="00A171F4" w:rsidRPr="002E765F" w:rsidTr="00D166AC">
          <w:trPr>
            <w:cnfStyle w:val="100000000000" w:firstRow="1" w:lastRow="0" w:firstColumn="0" w:lastColumn="0" w:oddVBand="0" w:evenVBand="0" w:oddHBand="0" w:evenHBand="0" w:firstRowFirstColumn="0" w:firstRowLastColumn="0" w:lastRowFirstColumn="0" w:lastRowLastColumn="0"/>
            <w:trHeight w:hRule="exact" w:val="510"/>
          </w:trPr>
          <w:tc>
            <w:tcPr>
              <w:tcW w:w="3439" w:type="dxa"/>
            </w:tcPr>
            <w:p w:rsidR="00A171F4" w:rsidRPr="002E765F" w:rsidRDefault="00A171F4" w:rsidP="00D166AC">
              <w:pPr>
                <w:pStyle w:val="Titel"/>
                <w:jc w:val="right"/>
                <w:rPr>
                  <w:sz w:val="32"/>
                  <w:szCs w:val="34"/>
                </w:rPr>
              </w:pPr>
              <w:r w:rsidRPr="002E765F">
                <w:rPr>
                  <w:sz w:val="32"/>
                  <w:szCs w:val="34"/>
                </w:rPr>
                <w:t>PRESS</w:t>
              </w:r>
              <w:r>
                <w:rPr>
                  <w:sz w:val="32"/>
                  <w:szCs w:val="34"/>
                </w:rPr>
                <w:t xml:space="preserve"> </w:t>
              </w:r>
              <w:r w:rsidRPr="002E765F">
                <w:rPr>
                  <w:sz w:val="6"/>
                  <w:szCs w:val="2"/>
                </w:rPr>
                <w:t xml:space="preserve"> </w:t>
              </w:r>
              <w:r>
                <w:rPr>
                  <w:sz w:val="32"/>
                  <w:szCs w:val="34"/>
                </w:rPr>
                <w:t>R</w:t>
              </w:r>
              <w:r w:rsidRPr="002E765F">
                <w:rPr>
                  <w:sz w:val="32"/>
                  <w:szCs w:val="34"/>
                </w:rPr>
                <w:t>ELEASE</w:t>
              </w:r>
            </w:p>
          </w:tc>
        </w:tr>
      </w:tbl>
      <w:p w:rsidR="00A171F4" w:rsidRPr="002E765F" w:rsidRDefault="00A171F4">
        <w:pPr>
          <w:pStyle w:val="Kopfzeile"/>
          <w:rPr>
            <w:sz w:val="14"/>
          </w:rPr>
        </w:pPr>
        <w:r w:rsidRPr="002E765F">
          <w:rPr>
            <w:noProof/>
            <w:sz w:val="14"/>
            <w:lang w:eastAsia="de-DE"/>
          </w:rPr>
          <w:drawing>
            <wp:anchor distT="0" distB="0" distL="114300" distR="114300" simplePos="0" relativeHeight="251666432" behindDoc="0" locked="0" layoutInCell="1" allowOverlap="1" wp14:anchorId="6A756653" wp14:editId="34E37F2E">
              <wp:simplePos x="0" y="0"/>
              <wp:positionH relativeFrom="page">
                <wp:posOffset>5443855</wp:posOffset>
              </wp:positionH>
              <wp:positionV relativeFrom="page">
                <wp:posOffset>323850</wp:posOffset>
              </wp:positionV>
              <wp:extent cx="1360800" cy="64800"/>
              <wp:effectExtent l="0" t="0" r="0" b="0"/>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1360800" cy="64800"/>
                      </a:xfrm>
                      <a:prstGeom prst="rect">
                        <a:avLst/>
                      </a:prstGeom>
                    </pic:spPr>
                  </pic:pic>
                </a:graphicData>
              </a:graphic>
              <wp14:sizeRelH relativeFrom="margin">
                <wp14:pctWidth>0</wp14:pctWidth>
              </wp14:sizeRelH>
              <wp14:sizeRelV relativeFrom="margin">
                <wp14:pctHeight>0</wp14:pctHeight>
              </wp14:sizeRelV>
            </wp:anchor>
          </w:drawing>
        </w:r>
        <w:r w:rsidRPr="002E765F">
          <w:rPr>
            <w:noProof/>
            <w:sz w:val="14"/>
            <w:lang w:eastAsia="de-DE"/>
          </w:rPr>
          <mc:AlternateContent>
            <mc:Choice Requires="wps">
              <w:drawing>
                <wp:anchor distT="0" distB="0" distL="114300" distR="114300" simplePos="0" relativeHeight="251668480" behindDoc="0" locked="0" layoutInCell="1" allowOverlap="1" wp14:anchorId="1692D950" wp14:editId="1AA77E1F">
                  <wp:simplePos x="0" y="0"/>
                  <wp:positionH relativeFrom="page">
                    <wp:posOffset>756285</wp:posOffset>
                  </wp:positionH>
                  <wp:positionV relativeFrom="page">
                    <wp:posOffset>702310</wp:posOffset>
                  </wp:positionV>
                  <wp:extent cx="6048000" cy="36000"/>
                  <wp:effectExtent l="0" t="0" r="0" b="2540"/>
                  <wp:wrapNone/>
                  <wp:docPr id="11" name="Rechteck 11"/>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767B3" id="Rechteck 11" o:spid="_x0000_s1026" style="position:absolute;margin-left:59.55pt;margin-top:55.3pt;width:476.2pt;height:2.8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" fillcolor="#0062a7 [3215]" stroked="f" strokeweight="2pt">
                  <w10:wrap anchorx="page" anchory="page"/>
                </v:rect>
              </w:pict>
            </mc:Fallback>
          </mc:AlternateConten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80274487"/>
      <w:lock w:val="sdtContentLocked"/>
    </w:sdtPr>
    <w:sdtEndPr/>
    <w:sdtContent>
      <w:p w:rsidR="00A171F4" w:rsidRDefault="00A171F4">
        <w:pPr>
          <w:pStyle w:val="Kopfzeile"/>
        </w:pPr>
        <w:r>
          <w:rPr>
            <w:noProof/>
            <w:lang w:eastAsia="de-DE"/>
          </w:rPr>
          <mc:AlternateContent>
            <mc:Choice Requires="wps">
              <w:drawing>
                <wp:anchor distT="0" distB="0" distL="114300" distR="114300" simplePos="0" relativeHeight="251660288" behindDoc="0" locked="0" layoutInCell="1" allowOverlap="1" wp14:anchorId="615A7A5C" wp14:editId="67150764">
                  <wp:simplePos x="0" y="0"/>
                  <wp:positionH relativeFrom="page">
                    <wp:posOffset>756285</wp:posOffset>
                  </wp:positionH>
                  <wp:positionV relativeFrom="page">
                    <wp:posOffset>935990</wp:posOffset>
                  </wp:positionV>
                  <wp:extent cx="6048000" cy="36000"/>
                  <wp:effectExtent l="0" t="0" r="0" b="2540"/>
                  <wp:wrapNone/>
                  <wp:docPr id="5" name="Rechteck 5"/>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ED5F43" id="Rechteck 5" o:spid="_x0000_s1026" style="position:absolute;margin-left:59.55pt;margin-top:73.7pt;width:476.2pt;height:2.8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" fillcolor="#0062a7 [3215]" stroked="f" strokeweight="2pt">
                  <w10:wrap anchorx="page" anchory="page"/>
                </v:rect>
              </w:pict>
            </mc:Fallback>
          </mc:AlternateContent>
        </w:r>
        <w:r>
          <w:rPr>
            <w:noProof/>
            <w:lang w:eastAsia="de-DE"/>
          </w:rPr>
          <w:drawing>
            <wp:anchor distT="0" distB="0" distL="114300" distR="114300" simplePos="0" relativeHeight="251659264" behindDoc="0" locked="0" layoutInCell="1" allowOverlap="1" wp14:anchorId="2CC97DB7" wp14:editId="48E8AF05">
              <wp:simplePos x="0" y="0"/>
              <wp:positionH relativeFrom="page">
                <wp:posOffset>5328920</wp:posOffset>
              </wp:positionH>
              <wp:positionV relativeFrom="page">
                <wp:posOffset>421005</wp:posOffset>
              </wp:positionV>
              <wp:extent cx="1476000" cy="79200"/>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76000" cy="792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8240" behindDoc="0" locked="0" layoutInCell="1" allowOverlap="1" wp14:anchorId="218F2EFB" wp14:editId="0D0A16B3">
              <wp:simplePos x="0" y="0"/>
              <wp:positionH relativeFrom="page">
                <wp:posOffset>756285</wp:posOffset>
              </wp:positionH>
              <wp:positionV relativeFrom="page">
                <wp:posOffset>360045</wp:posOffset>
              </wp:positionV>
              <wp:extent cx="3290400" cy="360000"/>
              <wp:effectExtent l="0" t="0" r="0" b="254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3290400" cy="360000"/>
                      </a:xfrm>
                      <a:prstGeom prst="rect">
                        <a:avLst/>
                      </a:prstGeom>
                    </pic:spPr>
                  </pic:pic>
                </a:graphicData>
              </a:graphic>
              <wp14:sizeRelH relativeFrom="margin">
                <wp14:pctWidth>0</wp14:pctWidth>
              </wp14:sizeRelH>
              <wp14:sizeRelV relativeFrom="margin">
                <wp14:pctHeight>0</wp14:pctHeight>
              </wp14:sizeRelV>
            </wp:anchor>
          </w:drawing>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75pt;height:1500.75pt" o:bullet="t">
        <v:imagedata r:id="rId1" o:title="AZ_04a"/>
      </v:shape>
    </w:pict>
  </w:numPicBullet>
  <w:numPicBullet w:numPicBulletId="1">
    <w:pict>
      <v:shape id="_x0000_i1027" type="#_x0000_t75" style="width:7.5pt;height:7.5pt" o:bullet="t">
        <v:imagedata r:id="rId2" o:title="aufzählung"/>
      </v:shape>
    </w:pict>
  </w:numPicBullet>
  <w:numPicBullet w:numPicBulletId="2">
    <w:pict>
      <v:shape id="_x0000_i1028" type="#_x0000_t75" style="width:12pt;height:12pt" o:bullet="t">
        <v:imagedata r:id="rId3" o:title="Pfeil_Benninghoven"/>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Theme="minorHAnsi" w:hAnsiTheme="minorHAnsi" w:hint="default"/>
        <w:sz w:val="36"/>
      </w:rPr>
    </w:lvl>
    <w:lvl w:ilvl="1">
      <w:start w:val="1"/>
      <w:numFmt w:val="decimal"/>
      <w:lvlText w:val="%1.%2."/>
      <w:lvlJc w:val="left"/>
      <w:pPr>
        <w:tabs>
          <w:tab w:val="num" w:pos="510"/>
        </w:tabs>
        <w:ind w:left="510" w:hanging="510"/>
      </w:pPr>
      <w:rPr>
        <w:rFonts w:asciiTheme="minorHAnsi" w:hAnsiTheme="minorHAnsi" w:hint="default"/>
        <w:sz w:val="26"/>
      </w:rPr>
    </w:lvl>
    <w:lvl w:ilvl="2">
      <w:start w:val="1"/>
      <w:numFmt w:val="decimal"/>
      <w:lvlText w:val="%1.%2.%3"/>
      <w:lvlJc w:val="left"/>
      <w:pPr>
        <w:tabs>
          <w:tab w:val="num" w:pos="680"/>
        </w:tabs>
        <w:ind w:left="680" w:hanging="680"/>
      </w:pPr>
      <w:rPr>
        <w:rFonts w:asciiTheme="minorHAnsi" w:hAnsiTheme="minorHAnsi" w:hint="default"/>
        <w:sz w:val="22"/>
      </w:rPr>
    </w:lvl>
    <w:lvl w:ilvl="3">
      <w:start w:val="1"/>
      <w:numFmt w:val="decimal"/>
      <w:lvlText w:val="%1.%2.%3.%4."/>
      <w:lvlJc w:val="left"/>
      <w:pPr>
        <w:tabs>
          <w:tab w:val="num" w:pos="851"/>
        </w:tabs>
        <w:ind w:left="851" w:hanging="851"/>
      </w:pPr>
      <w:rPr>
        <w:rFonts w:asciiTheme="minorHAnsi" w:hAnsiTheme="minorHAnsi"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9B32D29"/>
    <w:multiLevelType w:val="hybridMultilevel"/>
    <w:tmpl w:val="583EC39C"/>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A490E14"/>
    <w:multiLevelType w:val="hybridMultilevel"/>
    <w:tmpl w:val="8F1C934C"/>
    <w:lvl w:ilvl="0" w:tplc="4D529B9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4F46ADD"/>
    <w:multiLevelType w:val="multilevel"/>
    <w:tmpl w:val="B1A82EFC"/>
    <w:numStyleLink w:val="zzzThemen"/>
  </w:abstractNum>
  <w:abstractNum w:abstractNumId="6" w15:restartNumberingAfterBreak="0">
    <w:nsid w:val="2B8D7562"/>
    <w:multiLevelType w:val="hybridMultilevel"/>
    <w:tmpl w:val="1388A60E"/>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39218AE"/>
    <w:multiLevelType w:val="hybridMultilevel"/>
    <w:tmpl w:val="95AA2B98"/>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0C7E83"/>
    <w:multiLevelType w:val="multilevel"/>
    <w:tmpl w:val="AA5ADA32"/>
    <w:lvl w:ilvl="0">
      <w:start w:val="1"/>
      <w:numFmt w:val="decimal"/>
      <w:lvlText w:val="%1"/>
      <w:lvlJc w:val="left"/>
      <w:pPr>
        <w:tabs>
          <w:tab w:val="num" w:pos="425"/>
        </w:tabs>
        <w:ind w:left="0" w:firstLine="0"/>
      </w:pPr>
      <w:rPr>
        <w:rFonts w:asciiTheme="minorHAnsi" w:hAnsiTheme="minorHAnsi" w:hint="default"/>
        <w:sz w:val="32"/>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440A6F14"/>
    <w:multiLevelType w:val="hybridMultilevel"/>
    <w:tmpl w:val="67F23B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Theme="minorHAnsi" w:hAnsiTheme="minorHAnsi" w:hint="default"/>
        <w:sz w:val="16"/>
      </w:rPr>
    </w:lvl>
    <w:lvl w:ilvl="1">
      <w:start w:val="1"/>
      <w:numFmt w:val="none"/>
      <w:lvlRestart w:val="0"/>
      <w:lvlText w:val="%1."/>
      <w:lvlJc w:val="left"/>
      <w:pPr>
        <w:tabs>
          <w:tab w:val="num" w:pos="284"/>
        </w:tabs>
        <w:ind w:left="284" w:hanging="284"/>
      </w:pPr>
      <w:rPr>
        <w:rFonts w:asciiTheme="minorHAnsi" w:hAnsiTheme="minorHAnsi"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5B8C5DFE"/>
    <w:multiLevelType w:val="hybridMultilevel"/>
    <w:tmpl w:val="2E249A70"/>
    <w:lvl w:ilvl="0" w:tplc="B316C18E">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Theme="minorHAnsi" w:hAnsiTheme="minorHAnsi" w:hint="default"/>
        <w:b/>
        <w:i w:val="0"/>
        <w:sz w:val="22"/>
      </w:rPr>
    </w:lvl>
    <w:lvl w:ilvl="1">
      <w:start w:val="1"/>
      <w:numFmt w:val="decimal"/>
      <w:lvlText w:val="%1.%2"/>
      <w:lvlJc w:val="left"/>
      <w:pPr>
        <w:tabs>
          <w:tab w:val="num" w:pos="567"/>
        </w:tabs>
        <w:ind w:left="567" w:hanging="567"/>
      </w:pPr>
      <w:rPr>
        <w:rFonts w:asciiTheme="minorHAnsi" w:hAnsiTheme="minorHAnsi" w:hint="default"/>
        <w:b/>
        <w:i w:val="0"/>
        <w:sz w:val="19"/>
      </w:rPr>
    </w:lvl>
    <w:lvl w:ilvl="2">
      <w:start w:val="1"/>
      <w:numFmt w:val="decimal"/>
      <w:lvlText w:val="%1.%2.%3"/>
      <w:lvlJc w:val="left"/>
      <w:pPr>
        <w:tabs>
          <w:tab w:val="num" w:pos="567"/>
        </w:tabs>
        <w:ind w:left="567" w:hanging="567"/>
      </w:pPr>
      <w:rPr>
        <w:rFonts w:asciiTheme="minorHAnsi" w:hAnsiTheme="minorHAnsi"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4" w15:restartNumberingAfterBreak="0">
    <w:nsid w:val="7FEA0A23"/>
    <w:multiLevelType w:val="multilevel"/>
    <w:tmpl w:val="CD7452BA"/>
    <w:lvl w:ilvl="0">
      <w:start w:val="1"/>
      <w:numFmt w:val="decimal"/>
      <w:lvlText w:val="%1"/>
      <w:lvlJc w:val="left"/>
      <w:pPr>
        <w:tabs>
          <w:tab w:val="num" w:pos="284"/>
        </w:tabs>
        <w:ind w:left="0" w:firstLine="0"/>
      </w:pPr>
      <w:rPr>
        <w:rFonts w:asciiTheme="majorHAnsi" w:hAnsiTheme="majorHAnsi" w:hint="default"/>
        <w:sz w:val="20"/>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4"/>
  </w:num>
  <w:num w:numId="2">
    <w:abstractNumId w:val="14"/>
  </w:num>
  <w:num w:numId="3">
    <w:abstractNumId w:val="14"/>
  </w:num>
  <w:num w:numId="4">
    <w:abstractNumId w:val="14"/>
  </w:num>
  <w:num w:numId="5">
    <w:abstractNumId w:val="14"/>
  </w:num>
  <w:num w:numId="6">
    <w:abstractNumId w:val="2"/>
  </w:num>
  <w:num w:numId="7">
    <w:abstractNumId w:val="2"/>
  </w:num>
  <w:num w:numId="8">
    <w:abstractNumId w:val="2"/>
  </w:num>
  <w:num w:numId="9">
    <w:abstractNumId w:val="2"/>
  </w:num>
  <w:num w:numId="10">
    <w:abstractNumId w:val="2"/>
  </w:num>
  <w:num w:numId="11">
    <w:abstractNumId w:val="10"/>
  </w:num>
  <w:num w:numId="12">
    <w:abstractNumId w:val="10"/>
  </w:num>
  <w:num w:numId="13">
    <w:abstractNumId w:val="8"/>
  </w:num>
  <w:num w:numId="14">
    <w:abstractNumId w:val="8"/>
  </w:num>
  <w:num w:numId="15">
    <w:abstractNumId w:val="8"/>
  </w:num>
  <w:num w:numId="16">
    <w:abstractNumId w:val="8"/>
  </w:num>
  <w:num w:numId="17">
    <w:abstractNumId w:val="8"/>
  </w:num>
  <w:num w:numId="18">
    <w:abstractNumId w:val="1"/>
  </w:num>
  <w:num w:numId="19">
    <w:abstractNumId w:val="5"/>
  </w:num>
  <w:num w:numId="20">
    <w:abstractNumId w:val="13"/>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num>
  <w:num w:numId="27">
    <w:abstractNumId w:val="9"/>
  </w:num>
  <w:num w:numId="28">
    <w:abstractNumId w:val="12"/>
  </w:num>
  <w:num w:numId="29">
    <w:abstractNumId w:val="6"/>
  </w:num>
  <w:num w:numId="30">
    <w:abstractNumId w:val="7"/>
  </w:num>
  <w:num w:numId="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1F45"/>
    <w:rsid w:val="00042106"/>
    <w:rsid w:val="0005285B"/>
    <w:rsid w:val="00066D09"/>
    <w:rsid w:val="00071AAD"/>
    <w:rsid w:val="0009665C"/>
    <w:rsid w:val="000C7C24"/>
    <w:rsid w:val="00103205"/>
    <w:rsid w:val="0012026F"/>
    <w:rsid w:val="00132055"/>
    <w:rsid w:val="00147E7D"/>
    <w:rsid w:val="001804E7"/>
    <w:rsid w:val="001822F7"/>
    <w:rsid w:val="00186281"/>
    <w:rsid w:val="00187006"/>
    <w:rsid w:val="001A1F24"/>
    <w:rsid w:val="001B16BB"/>
    <w:rsid w:val="001C39B0"/>
    <w:rsid w:val="001D72C7"/>
    <w:rsid w:val="00201EEC"/>
    <w:rsid w:val="00253A2E"/>
    <w:rsid w:val="0029634D"/>
    <w:rsid w:val="002B585E"/>
    <w:rsid w:val="002B5FF2"/>
    <w:rsid w:val="002E765F"/>
    <w:rsid w:val="002F108B"/>
    <w:rsid w:val="003213F8"/>
    <w:rsid w:val="00321C7C"/>
    <w:rsid w:val="0034191A"/>
    <w:rsid w:val="00343CC7"/>
    <w:rsid w:val="00353E39"/>
    <w:rsid w:val="003567C0"/>
    <w:rsid w:val="00384A08"/>
    <w:rsid w:val="003A753A"/>
    <w:rsid w:val="003E1CB6"/>
    <w:rsid w:val="003E3CF6"/>
    <w:rsid w:val="003E759F"/>
    <w:rsid w:val="003F0691"/>
    <w:rsid w:val="00403373"/>
    <w:rsid w:val="00404E54"/>
    <w:rsid w:val="00406C81"/>
    <w:rsid w:val="00411224"/>
    <w:rsid w:val="00412545"/>
    <w:rsid w:val="00430BB0"/>
    <w:rsid w:val="00442B20"/>
    <w:rsid w:val="0044528F"/>
    <w:rsid w:val="00465666"/>
    <w:rsid w:val="00493F01"/>
    <w:rsid w:val="004D0F82"/>
    <w:rsid w:val="00506409"/>
    <w:rsid w:val="00530E32"/>
    <w:rsid w:val="005447EA"/>
    <w:rsid w:val="005466D6"/>
    <w:rsid w:val="00551F45"/>
    <w:rsid w:val="00560E88"/>
    <w:rsid w:val="005711A3"/>
    <w:rsid w:val="00573B2B"/>
    <w:rsid w:val="00582A7A"/>
    <w:rsid w:val="00584BD4"/>
    <w:rsid w:val="00595D58"/>
    <w:rsid w:val="005A4F04"/>
    <w:rsid w:val="005B5793"/>
    <w:rsid w:val="005D2974"/>
    <w:rsid w:val="005E6635"/>
    <w:rsid w:val="006330A2"/>
    <w:rsid w:val="00642EB6"/>
    <w:rsid w:val="00673057"/>
    <w:rsid w:val="006D25C0"/>
    <w:rsid w:val="006F7602"/>
    <w:rsid w:val="00707005"/>
    <w:rsid w:val="00714407"/>
    <w:rsid w:val="00714F09"/>
    <w:rsid w:val="00722A17"/>
    <w:rsid w:val="007278D0"/>
    <w:rsid w:val="00757B83"/>
    <w:rsid w:val="0076060A"/>
    <w:rsid w:val="007656B5"/>
    <w:rsid w:val="00791A69"/>
    <w:rsid w:val="00794830"/>
    <w:rsid w:val="00797CAA"/>
    <w:rsid w:val="007B7F97"/>
    <w:rsid w:val="007C2658"/>
    <w:rsid w:val="007C3488"/>
    <w:rsid w:val="007E20D0"/>
    <w:rsid w:val="007E77C8"/>
    <w:rsid w:val="008029C1"/>
    <w:rsid w:val="0081485F"/>
    <w:rsid w:val="00820315"/>
    <w:rsid w:val="00832444"/>
    <w:rsid w:val="00843B45"/>
    <w:rsid w:val="00863129"/>
    <w:rsid w:val="008722A4"/>
    <w:rsid w:val="008728A3"/>
    <w:rsid w:val="00884EDA"/>
    <w:rsid w:val="00886F89"/>
    <w:rsid w:val="00895B14"/>
    <w:rsid w:val="008C2DB2"/>
    <w:rsid w:val="008D770E"/>
    <w:rsid w:val="0090337E"/>
    <w:rsid w:val="00930907"/>
    <w:rsid w:val="00985111"/>
    <w:rsid w:val="009B0EC1"/>
    <w:rsid w:val="009C2378"/>
    <w:rsid w:val="009D016F"/>
    <w:rsid w:val="009E251D"/>
    <w:rsid w:val="00A171F4"/>
    <w:rsid w:val="00A24EFC"/>
    <w:rsid w:val="00A63597"/>
    <w:rsid w:val="00A977CE"/>
    <w:rsid w:val="00AD131F"/>
    <w:rsid w:val="00AF3B3A"/>
    <w:rsid w:val="00AF6569"/>
    <w:rsid w:val="00B0005E"/>
    <w:rsid w:val="00B0081C"/>
    <w:rsid w:val="00B06265"/>
    <w:rsid w:val="00B0758C"/>
    <w:rsid w:val="00B15E0C"/>
    <w:rsid w:val="00B239CB"/>
    <w:rsid w:val="00B41E02"/>
    <w:rsid w:val="00B90F78"/>
    <w:rsid w:val="00BC318F"/>
    <w:rsid w:val="00BD1058"/>
    <w:rsid w:val="00BF56B2"/>
    <w:rsid w:val="00BF7BFE"/>
    <w:rsid w:val="00C457C3"/>
    <w:rsid w:val="00C5117C"/>
    <w:rsid w:val="00C53621"/>
    <w:rsid w:val="00C644CA"/>
    <w:rsid w:val="00C73005"/>
    <w:rsid w:val="00C737E4"/>
    <w:rsid w:val="00C8133E"/>
    <w:rsid w:val="00CD0ECD"/>
    <w:rsid w:val="00CE00F6"/>
    <w:rsid w:val="00CF36C9"/>
    <w:rsid w:val="00CF40A7"/>
    <w:rsid w:val="00D166AC"/>
    <w:rsid w:val="00D513AF"/>
    <w:rsid w:val="00D608D1"/>
    <w:rsid w:val="00D61172"/>
    <w:rsid w:val="00D7785A"/>
    <w:rsid w:val="00DB6D77"/>
    <w:rsid w:val="00DC754A"/>
    <w:rsid w:val="00E14608"/>
    <w:rsid w:val="00E1612A"/>
    <w:rsid w:val="00E21E67"/>
    <w:rsid w:val="00E30EBF"/>
    <w:rsid w:val="00E52D70"/>
    <w:rsid w:val="00E55534"/>
    <w:rsid w:val="00E575F8"/>
    <w:rsid w:val="00E770E8"/>
    <w:rsid w:val="00E914D1"/>
    <w:rsid w:val="00EA3976"/>
    <w:rsid w:val="00EB6A7A"/>
    <w:rsid w:val="00EF3014"/>
    <w:rsid w:val="00F20920"/>
    <w:rsid w:val="00F2313B"/>
    <w:rsid w:val="00F46C83"/>
    <w:rsid w:val="00F56318"/>
    <w:rsid w:val="00F631EC"/>
    <w:rsid w:val="00F73CBE"/>
    <w:rsid w:val="00F82525"/>
    <w:rsid w:val="00F97FEA"/>
    <w:rsid w:val="00FB47F8"/>
    <w:rsid w:val="00FC0D18"/>
    <w:rsid w:val="00FE61B5"/>
    <w:rsid w:val="00FF3870"/>
    <w:rsid w:val="00FF52AE"/>
  </w:rsids>
  <m:mathPr>
    <m:mathFont m:val="Cambria Math"/>
    <m:brkBin m:val="before"/>
    <m:brkBinSub m:val="--"/>
    <m:smallFrac m:val="0"/>
    <m:dispDef/>
    <m:lMargin m:val="0"/>
    <m:rMargin m:val="0"/>
    <m:defJc m:val="centerGroup"/>
    <m:wrapIndent m:val="1440"/>
    <m:intLim m:val="subSup"/>
    <m:naryLim m:val="undOvr"/>
  </m:mathPr>
  <w:themeFontLang w:val="de-DE"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8F60A3"/>
  <w15:docId w15:val="{D1ACFA1F-DFA9-4F68-A9B9-1251AD149F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16"/>
        <w:szCs w:val="16"/>
        <w:lang w:val="pt-P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8"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CE00F6"/>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Theme="majorEastAsia" w:cstheme="majorBidi"/>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asciiTheme="majorHAnsi" w:eastAsiaTheme="majorEastAsia" w:hAnsiTheme="majorHAnsi" w:cstheme="majorBidi"/>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asciiTheme="majorHAnsi" w:eastAsiaTheme="majorEastAsia" w:hAnsiTheme="majorHAnsi" w:cstheme="majorBidi"/>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asciiTheme="majorHAnsi" w:eastAsiaTheme="majorEastAsia" w:hAnsiTheme="majorHAnsi" w:cstheme="majorBidi"/>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rPr>
      <w:szCs w:val="20"/>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basedOn w:val="Absatz-Standardschriftart"/>
    <w:link w:val="berschrift1"/>
    <w:uiPriority w:val="9"/>
    <w:rsid w:val="00A171F4"/>
    <w:rPr>
      <w:rFonts w:eastAsiaTheme="majorEastAsia" w:cstheme="majorBidi"/>
      <w:b/>
      <w:sz w:val="40"/>
      <w:szCs w:val="32"/>
    </w:rPr>
  </w:style>
  <w:style w:type="character" w:customStyle="1" w:styleId="berschrift2Zchn">
    <w:name w:val="Überschrift 2 Zchn"/>
    <w:basedOn w:val="Absatz-Standardschriftart"/>
    <w:link w:val="berschrift2"/>
    <w:uiPriority w:val="9"/>
    <w:rsid w:val="002E765F"/>
    <w:rPr>
      <w:rFonts w:asciiTheme="majorHAnsi" w:eastAsiaTheme="majorEastAsia" w:hAnsiTheme="majorHAnsi" w:cstheme="majorBidi"/>
      <w:b/>
      <w:sz w:val="22"/>
      <w:szCs w:val="26"/>
    </w:rPr>
  </w:style>
  <w:style w:type="character" w:customStyle="1" w:styleId="berschrift3Zchn">
    <w:name w:val="Überschrift 3 Zchn"/>
    <w:basedOn w:val="Absatz-Standardschriftart"/>
    <w:link w:val="berschrift3"/>
    <w:uiPriority w:val="9"/>
    <w:rsid w:val="002E765F"/>
    <w:rPr>
      <w:rFonts w:asciiTheme="majorHAnsi" w:eastAsiaTheme="majorEastAsia" w:hAnsiTheme="majorHAnsi" w:cstheme="majorBidi"/>
      <w:b/>
      <w:sz w:val="20"/>
      <w:szCs w:val="24"/>
    </w:rPr>
  </w:style>
  <w:style w:type="character" w:customStyle="1" w:styleId="berschrift4Zchn">
    <w:name w:val="Überschrift 4 Zchn"/>
    <w:basedOn w:val="Absatz-Standardschriftart"/>
    <w:link w:val="berschrift4"/>
    <w:uiPriority w:val="9"/>
    <w:rsid w:val="002E765F"/>
    <w:rPr>
      <w:rFonts w:asciiTheme="majorHAnsi" w:eastAsiaTheme="majorEastAsia" w:hAnsiTheme="majorHAnsi" w:cstheme="majorBidi"/>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0062A7" w:themeColor="text2"/>
      <w:sz w:val="18"/>
    </w:rPr>
  </w:style>
  <w:style w:type="character" w:customStyle="1" w:styleId="FuzeileZchn">
    <w:name w:val="Fußzeile Zchn"/>
    <w:basedOn w:val="Absatz-Standardschriftart"/>
    <w:link w:val="Fuzeile"/>
    <w:uiPriority w:val="99"/>
    <w:rsid w:val="00642EB6"/>
    <w:rPr>
      <w:color w:val="0062A7" w:themeColor="text2"/>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basedOn w:val="Absatz-Standardschriftart"/>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6D25C0"/>
    <w:pPr>
      <w:spacing w:line="600" w:lineRule="exact"/>
      <w:contextualSpacing/>
    </w:pPr>
    <w:rPr>
      <w:rFonts w:asciiTheme="majorHAnsi" w:eastAsiaTheme="majorEastAsia" w:hAnsiTheme="majorHAnsi" w:cstheme="majorBidi"/>
      <w:b/>
      <w:color w:val="0062A7" w:themeColor="text2"/>
      <w:sz w:val="40"/>
      <w:szCs w:val="52"/>
    </w:rPr>
  </w:style>
  <w:style w:type="character" w:customStyle="1" w:styleId="TitelZchn">
    <w:name w:val="Titel Zchn"/>
    <w:basedOn w:val="Absatz-Standardschriftart"/>
    <w:link w:val="Titel"/>
    <w:rsid w:val="006D25C0"/>
    <w:rPr>
      <w:rFonts w:asciiTheme="majorHAnsi" w:eastAsiaTheme="majorEastAsia" w:hAnsiTheme="majorHAnsi" w:cstheme="majorBidi"/>
      <w:b/>
      <w:color w:val="0062A7" w:themeColor="text2"/>
      <w:sz w:val="40"/>
      <w:szCs w:val="52"/>
    </w:rPr>
  </w:style>
  <w:style w:type="character" w:styleId="Hervorhebung">
    <w:name w:val="Emphasis"/>
    <w:basedOn w:val="Absatz-Standardschriftart"/>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asciiTheme="majorHAnsi" w:eastAsiaTheme="majorEastAsia" w:hAnsiTheme="majorHAnsi" w:cstheme="majorBidi"/>
      <w:iCs/>
      <w:color w:val="5C666F" w:themeColor="accent1"/>
      <w:sz w:val="32"/>
      <w:szCs w:val="24"/>
    </w:rPr>
  </w:style>
  <w:style w:type="character" w:customStyle="1" w:styleId="UntertitelZchn">
    <w:name w:val="Untertitel Zchn"/>
    <w:basedOn w:val="Absatz-Standardschriftart"/>
    <w:link w:val="Untertitel"/>
    <w:rsid w:val="00843B45"/>
    <w:rPr>
      <w:rFonts w:asciiTheme="majorHAnsi" w:eastAsiaTheme="majorEastAsia" w:hAnsiTheme="majorHAnsi" w:cstheme="majorBidi"/>
      <w:iCs/>
      <w:color w:val="5C666F" w:themeColor="accent1"/>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styleId="Listenabsatz">
    <w:name w:val="List Paragraph"/>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basedOn w:val="Absatz-Standardschriftart"/>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styleId="SchwacheHervorhebung">
    <w:name w:val="Subtle Emphasis"/>
    <w:basedOn w:val="Absatz-Standardschriftart"/>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44528F"/>
    <w:pPr>
      <w:numPr>
        <w:numId w:val="22"/>
      </w:numPr>
      <w:spacing w:after="120" w:line="280" w:lineRule="atLeast"/>
      <w:contextualSpacing/>
    </w:pPr>
    <w:rPr>
      <w:sz w:val="22"/>
    </w:rPr>
  </w:style>
  <w:style w:type="paragraph" w:customStyle="1" w:styleId="Bulletpoint2">
    <w:name w:val="Bulletpoint 2"/>
    <w:basedOn w:val="Standard"/>
    <w:uiPriority w:val="5"/>
    <w:qFormat/>
    <w:rsid w:val="0044528F"/>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44528F"/>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0062A7" w:themeColor="text2"/>
        <w:bottom w:val="single" w:sz="2" w:space="0" w:color="0062A7" w:themeColor="text2"/>
        <w:right w:val="single" w:sz="2" w:space="0" w:color="0062A7" w:themeColor="text2"/>
        <w:insideH w:val="single" w:sz="2" w:space="0" w:color="0062A7" w:themeColor="text2"/>
        <w:insideV w:val="single" w:sz="2" w:space="0" w:color="0062A7" w:themeColor="text2"/>
      </w:tblBorders>
      <w:tblCellMar>
        <w:left w:w="85" w:type="dxa"/>
        <w:right w:w="85" w:type="dxa"/>
      </w:tblCellMar>
    </w:tblPr>
    <w:tblStylePr w:type="firstRow">
      <w:pPr>
        <w:wordWrap/>
        <w:spacing w:beforeLines="40" w:before="40" w:beforeAutospacing="0" w:afterLines="40" w:after="40" w:afterAutospacing="0"/>
      </w:pPr>
      <w:rPr>
        <w:b/>
        <w:color w:val="FFFFFF" w:themeColor="background1"/>
      </w:rPr>
      <w:tblPr/>
      <w:tcPr>
        <w:tcBorders>
          <w:top w:val="single" w:sz="2" w:space="0" w:color="FFFFFF" w:themeColor="background1"/>
          <w:left w:val="single" w:sz="2" w:space="0" w:color="0062A7" w:themeColor="text2"/>
          <w:bottom w:val="single" w:sz="2" w:space="0" w:color="FFFFFF" w:themeColor="background1"/>
          <w:right w:val="single" w:sz="2" w:space="0" w:color="0062A7" w:themeColor="text2"/>
          <w:insideH w:val="single" w:sz="2" w:space="0" w:color="FFFFFF" w:themeColor="background1"/>
          <w:insideV w:val="single" w:sz="2" w:space="0" w:color="FFFFFF" w:themeColor="background1"/>
          <w:tl2br w:val="nil"/>
          <w:tr2bl w:val="nil"/>
        </w:tcBorders>
        <w:shd w:val="clear" w:color="auto" w:fill="0062A7" w:themeFill="text2"/>
      </w:tcPr>
    </w:tblStylePr>
    <w:tblStylePr w:type="lastRow">
      <w:rPr>
        <w:b/>
      </w:rPr>
      <w:tblPr/>
      <w:tcPr>
        <w:tcBorders>
          <w:top w:val="single" w:sz="4" w:space="0" w:color="41535D" w:themeColor="text1"/>
          <w:bottom w:val="single" w:sz="4" w:space="0" w:color="41535D" w:themeColor="text1"/>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themeColor="text1"/>
      <w:szCs w:val="18"/>
    </w:rPr>
  </w:style>
  <w:style w:type="paragraph" w:styleId="Inhaltsverzeichnisberschrift">
    <w:name w:val="TOC Heading"/>
    <w:basedOn w:val="berschrift1"/>
    <w:next w:val="Standard"/>
    <w:uiPriority w:val="39"/>
    <w:qFormat/>
    <w:rsid w:val="00BD1058"/>
    <w:pPr>
      <w:spacing w:line="240" w:lineRule="auto"/>
      <w:outlineLvl w:val="9"/>
    </w:pPr>
    <w:rPr>
      <w:rFonts w:asciiTheme="majorHAnsi" w:hAnsiTheme="majorHAnsi"/>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basedOn w:val="Absatz-Standardschriftart"/>
    <w:uiPriority w:val="99"/>
    <w:unhideWhenUsed/>
    <w:rsid w:val="00BD1058"/>
    <w:rPr>
      <w:color w:val="41535D" w:themeColor="hyperlink"/>
      <w:u w:val="single"/>
    </w:rPr>
  </w:style>
  <w:style w:type="character" w:styleId="Platzhaltertext">
    <w:name w:val="Placeholder Text"/>
    <w:basedOn w:val="Absatz-Standardschriftart"/>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wmf"/></Relationships>
</file>

<file path=word/_rels/header2.xml.rels><?xml version="1.0" encoding="UTF-8" standalone="yes"?>
<Relationships xmlns="http://schemas.openxmlformats.org/package/2006/relationships"><Relationship Id="rId2" Type="http://schemas.openxmlformats.org/officeDocument/2006/relationships/image" Target="media/image12.wmf"/><Relationship Id="rId1" Type="http://schemas.openxmlformats.org/officeDocument/2006/relationships/image" Target="media/image11.w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I:\Marketing\WIRTGEN\Werbung\Anzeigen\Redaktionelle%20Beitr&#228;ge\_Vorlagen\PR_BENNINGHOVEN_Vorlage.dotx" TargetMode="External"/></Relationships>
</file>

<file path=word/theme/theme1.xml><?xml version="1.0" encoding="utf-8"?>
<a:theme xmlns:a="http://schemas.openxmlformats.org/drawingml/2006/main" name="Office Theme">
  <a:themeElements>
    <a:clrScheme name="Wirtgen_Benninghoven">
      <a:dk1>
        <a:srgbClr val="41535D"/>
      </a:dk1>
      <a:lt1>
        <a:sysClr val="window" lastClr="FFFFFF"/>
      </a:lt1>
      <a:dk2>
        <a:srgbClr val="0062A7"/>
      </a:dk2>
      <a:lt2>
        <a:srgbClr val="ADB2B6"/>
      </a:lt2>
      <a:accent1>
        <a:srgbClr val="5C666F"/>
      </a:accent1>
      <a:accent2>
        <a:srgbClr val="7C848C"/>
      </a:accent2>
      <a:accent3>
        <a:srgbClr val="9DA3A8"/>
      </a:accent3>
      <a:accent4>
        <a:srgbClr val="BDC1C5"/>
      </a:accent4>
      <a:accent5>
        <a:srgbClr val="DEE0E2"/>
      </a:accent5>
      <a:accent6>
        <a:srgbClr val="EEEFF0"/>
      </a:accent6>
      <a:hlink>
        <a:srgbClr val="41535D"/>
      </a:hlink>
      <a:folHlink>
        <a:srgbClr val="9DA3A8"/>
      </a:folHlink>
    </a:clrScheme>
    <a:fontScheme name="Wirtgen">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tx2"/>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FFBED2-4D27-4372-B0BD-5F8AC821F4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PR_BENNINGHOVEN_Vorlage.dotx</Template>
  <TotalTime>0</TotalTime>
  <Pages>6</Pages>
  <Words>1163</Words>
  <Characters>7328</Characters>
  <Application>Microsoft Office Word</Application>
  <DocSecurity>0</DocSecurity>
  <Lines>61</Lines>
  <Paragraphs>16</Paragraphs>
  <ScaleCrop>false</ScaleCrop>
  <HeadingPairs>
    <vt:vector size="2" baseType="variant">
      <vt:variant>
        <vt:lpstr>Titel</vt:lpstr>
      </vt:variant>
      <vt:variant>
        <vt:i4>1</vt:i4>
      </vt:variant>
    </vt:vector>
  </HeadingPairs>
  <TitlesOfParts>
    <vt:vector size="1" baseType="lpstr">
      <vt:lpstr/>
    </vt:vector>
  </TitlesOfParts>
  <Company>Wirtgen GmbH</Company>
  <LinksUpToDate>false</LinksUpToDate>
  <CharactersWithSpaces>8475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Anja.Schnur</dc:creator>
  <cp:lastModifiedBy>techtrans GmbH Weber Andreas</cp:lastModifiedBy>
  <cp:revision>29</cp:revision>
  <cp:lastPrinted>2018-05-23T06:33:00Z</cp:lastPrinted>
  <dcterms:created xsi:type="dcterms:W3CDTF">2018-05-30T05:46:00Z</dcterms:created>
  <dcterms:modified xsi:type="dcterms:W3CDTF">2019-01-07T11:04:00Z</dcterms:modified>
</cp:coreProperties>
</file>