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D25C0" w:rsidRDefault="00071AAD" w:rsidP="00493F01">
      <w:pPr>
        <w:pStyle w:val="berschrift1"/>
        <w:spacing w:before="0" w:after="0" w:line="276" w:lineRule="auto"/>
        <w:jc w:val="left"/>
      </w:pPr>
      <w:r>
        <w:t>Anteprima mondiale – L'impianto di miscelazione asfalto TBA BENNINGHOVEN per la prima volta disponibile nella versione con generatore di gas caldo</w:t>
      </w:r>
    </w:p>
    <w:p w:rsidR="006D25C0" w:rsidRDefault="006D25C0" w:rsidP="006D25C0">
      <w:pPr>
        <w:pStyle w:val="Text"/>
      </w:pPr>
    </w:p>
    <w:p w:rsidR="00FE61B5" w:rsidRDefault="003F0691" w:rsidP="00493F01">
      <w:pPr>
        <w:pStyle w:val="Text"/>
        <w:spacing w:line="276" w:lineRule="auto"/>
        <w:rPr>
          <w:rStyle w:val="Hervorhebung"/>
        </w:rPr>
      </w:pPr>
      <w:r>
        <w:rPr>
          <w:rStyle w:val="Hervorhebung"/>
        </w:rPr>
        <w:t xml:space="preserve">BENNINGHOVEN leader nelle tecnologie di riciclaggio – tamburo di riciclo funzionante secondo il principio di controcorrente con generatore di gas caldo, da oggi installato anche sul TBA. </w:t>
      </w:r>
    </w:p>
    <w:p w:rsidR="001A1F24" w:rsidRDefault="001A1F24" w:rsidP="00493F01">
      <w:pPr>
        <w:pStyle w:val="Text"/>
        <w:spacing w:line="276" w:lineRule="auto"/>
      </w:pPr>
    </w:p>
    <w:p w:rsidR="00DB6D77" w:rsidRDefault="00E1612A" w:rsidP="00E1612A">
      <w:pPr>
        <w:pStyle w:val="Text"/>
        <w:spacing w:line="276" w:lineRule="auto"/>
      </w:pPr>
      <w:r>
        <w:t>L'impianto trasportabile di miscelazione asfalto del tipo TBA assorbe una capacità compresa tra 160 e 320</w:t>
      </w:r>
      <w:r w:rsidR="0041324F">
        <w:t> </w:t>
      </w:r>
      <w:r>
        <w:t>t/h ed è adatto sia per l’impiego semi-mobile che per quello stazionario. La realizzazione dei componenti principali sotto forma di moduli a container con cablaggio a innesto offre possibilità ottimali di trasporto e tempi di montaggio ridotti per il sistema modulare. L’elevata flessibilità dell’impianto, gli optional che possono essere inclusi nella fornitura, i sistemi di aggiunta di materiale riciclabile e la costante espandibilità dei componenti rendono l’impianto TBA un eccezionale tuttofare.</w:t>
      </w:r>
    </w:p>
    <w:p w:rsidR="003F0691" w:rsidRDefault="003F0691" w:rsidP="00E1612A">
      <w:pPr>
        <w:pStyle w:val="Text"/>
        <w:spacing w:line="276" w:lineRule="auto"/>
      </w:pPr>
    </w:p>
    <w:p w:rsidR="00B15E0C" w:rsidRDefault="003F0691" w:rsidP="00B15E0C">
      <w:pPr>
        <w:pStyle w:val="Text"/>
        <w:spacing w:line="276" w:lineRule="auto"/>
      </w:pPr>
      <w:r>
        <w:t xml:space="preserve">Un ulteriore valore aggiunto è dato dalle straordinarie capacità di immagazzinaggio dell'insilaggio a caldo e del silo di carico del conglomerato. Lo stoccaggio intermedio del minerale bianco essiccato, riscaldato e selezionato può essere realizzato con capacità di 60, 80 e 130 t in 5, 6 o 7 scomparti. Esiste inoltre la possibilità di combinare o separare sabbia e bypass, di portare il </w:t>
      </w:r>
      <w:proofErr w:type="spellStart"/>
      <w:r>
        <w:t>sopravaglio</w:t>
      </w:r>
      <w:proofErr w:type="spellEnd"/>
      <w:r>
        <w:t xml:space="preserve"> all'esterno o di raccoglierlo nell'ultimo scomparto.</w:t>
      </w:r>
    </w:p>
    <w:p w:rsidR="00B15E0C" w:rsidRDefault="00B15E0C" w:rsidP="00B15E0C">
      <w:pPr>
        <w:pStyle w:val="Text"/>
        <w:spacing w:line="276" w:lineRule="auto"/>
      </w:pPr>
    </w:p>
    <w:p w:rsidR="00B15E0C" w:rsidRDefault="00B15E0C" w:rsidP="00B15E0C">
      <w:pPr>
        <w:pStyle w:val="Text"/>
        <w:spacing w:line="276" w:lineRule="auto"/>
      </w:pPr>
      <w:r>
        <w:t>Una riserva di dimensioni sufficienti è garantita da un silo integrato di carico del conglomerato, disponibile in dimensioni da 42 a 517 t e capace di immagazzinare fino a sette tipi di asfalto (ricette). Espandibile e modificabile in ogni momento grazie al sistema modulare.</w:t>
      </w:r>
    </w:p>
    <w:p w:rsidR="00CF40A7" w:rsidRDefault="00CF40A7" w:rsidP="00E1612A">
      <w:pPr>
        <w:pStyle w:val="Text"/>
        <w:spacing w:line="276" w:lineRule="auto"/>
      </w:pPr>
    </w:p>
    <w:p w:rsidR="00E1612A" w:rsidRDefault="00E1612A" w:rsidP="00DB6D77">
      <w:pPr>
        <w:pStyle w:val="Text"/>
        <w:spacing w:line="276" w:lineRule="auto"/>
        <w:rPr>
          <w:rStyle w:val="Hervorhebung"/>
        </w:rPr>
      </w:pPr>
    </w:p>
    <w:p w:rsidR="00EA3976" w:rsidRPr="00EA3976" w:rsidRDefault="00EA3976" w:rsidP="00EA3976">
      <w:pPr>
        <w:pStyle w:val="Text"/>
        <w:spacing w:line="276" w:lineRule="auto"/>
        <w:rPr>
          <w:b/>
          <w:iCs/>
        </w:rPr>
      </w:pPr>
      <w:r>
        <w:rPr>
          <w:b/>
          <w:iCs/>
        </w:rPr>
        <w:t>2, 3 o 4 t di asfalto ogni 45 secondi</w:t>
      </w:r>
    </w:p>
    <w:p w:rsidR="00EA3976" w:rsidRPr="00EA3976" w:rsidRDefault="00EA3976" w:rsidP="00EA3976">
      <w:pPr>
        <w:pStyle w:val="Text"/>
        <w:spacing w:line="276" w:lineRule="auto"/>
        <w:rPr>
          <w:iCs/>
        </w:rPr>
      </w:pPr>
      <w:r>
        <w:t>Gli impianti TBA 2000, 3000 o 4000 dispongono di miscelatori per carichi rispettivamente da 2000, 3000 o 4000</w:t>
      </w:r>
      <w:r w:rsidR="0041324F">
        <w:t> </w:t>
      </w:r>
      <w:r>
        <w:t>kg e consentono una capacità di miscelazione di 160, 240 o 320</w:t>
      </w:r>
      <w:r w:rsidR="0041324F">
        <w:t> </w:t>
      </w:r>
      <w:r>
        <w:t xml:space="preserve">t/h. Gli impianti di questo tipo hanno una struttura estremamente robusta. Possono quindi essere installati anche in territori soggetti a terremoti e resistono a grossi carichi di vento. Ogni impianto TBA, in virtù della propria struttura modulare e del </w:t>
      </w:r>
      <w:proofErr w:type="spellStart"/>
      <w:r>
        <w:t>precablaggio</w:t>
      </w:r>
      <w:proofErr w:type="spellEnd"/>
      <w:r>
        <w:t xml:space="preserve"> concepito per l'attacco rapido, può essere trasportato in modo estremamente semplice ed essere rapidamente installato in un altro punto.</w:t>
      </w:r>
    </w:p>
    <w:p w:rsidR="00EA3976" w:rsidRPr="00EA3976" w:rsidRDefault="00EA3976" w:rsidP="00EA3976">
      <w:pPr>
        <w:pStyle w:val="Text"/>
        <w:spacing w:line="276" w:lineRule="auto"/>
        <w:rPr>
          <w:iCs/>
        </w:rPr>
      </w:pPr>
    </w:p>
    <w:p w:rsidR="0041324F" w:rsidRDefault="0041324F" w:rsidP="00EA3976">
      <w:pPr>
        <w:pStyle w:val="Text"/>
        <w:spacing w:line="276" w:lineRule="auto"/>
        <w:rPr>
          <w:b/>
          <w:iCs/>
        </w:rPr>
      </w:pPr>
      <w:r>
        <w:rPr>
          <w:b/>
          <w:iCs/>
        </w:rPr>
        <w:br w:type="page"/>
      </w:r>
    </w:p>
    <w:p w:rsidR="00EA3976" w:rsidRPr="00EA3976" w:rsidRDefault="00EA3976" w:rsidP="00EA3976">
      <w:pPr>
        <w:pStyle w:val="Text"/>
        <w:spacing w:line="276" w:lineRule="auto"/>
        <w:rPr>
          <w:b/>
          <w:iCs/>
        </w:rPr>
      </w:pPr>
      <w:r>
        <w:rPr>
          <w:b/>
          <w:iCs/>
        </w:rPr>
        <w:lastRenderedPageBreak/>
        <w:t>Punti di forza dell'impianto trasportabile BENNINGHOVEN (TBA)</w:t>
      </w:r>
    </w:p>
    <w:p w:rsidR="00EA3976" w:rsidRPr="00EA3976" w:rsidRDefault="00EA3976" w:rsidP="00EA3976">
      <w:pPr>
        <w:pStyle w:val="Text"/>
        <w:numPr>
          <w:ilvl w:val="0"/>
          <w:numId w:val="28"/>
        </w:numPr>
        <w:spacing w:line="276" w:lineRule="auto"/>
        <w:rPr>
          <w:iCs/>
        </w:rPr>
      </w:pPr>
      <w:r>
        <w:t>Sistema modulare</w:t>
      </w:r>
    </w:p>
    <w:p w:rsidR="00EA3976" w:rsidRPr="00EA3976" w:rsidRDefault="00EA3976" w:rsidP="00EA3976">
      <w:pPr>
        <w:pStyle w:val="Text"/>
        <w:numPr>
          <w:ilvl w:val="0"/>
          <w:numId w:val="28"/>
        </w:numPr>
        <w:spacing w:line="276" w:lineRule="auto"/>
        <w:rPr>
          <w:iCs/>
        </w:rPr>
      </w:pPr>
      <w:r>
        <w:t>Capacità elevata</w:t>
      </w:r>
    </w:p>
    <w:p w:rsidR="00EA3976" w:rsidRPr="00EA3976" w:rsidRDefault="00EA3976" w:rsidP="00EA3976">
      <w:pPr>
        <w:pStyle w:val="Text"/>
        <w:numPr>
          <w:ilvl w:val="0"/>
          <w:numId w:val="28"/>
        </w:numPr>
        <w:spacing w:line="276" w:lineRule="auto"/>
        <w:rPr>
          <w:iCs/>
        </w:rPr>
      </w:pPr>
      <w:r>
        <w:t>Aggiunta di riciclato superiore all'80 %</w:t>
      </w:r>
    </w:p>
    <w:p w:rsidR="00EA3976" w:rsidRPr="00EA3976" w:rsidRDefault="00EA3976" w:rsidP="00EA3976">
      <w:pPr>
        <w:pStyle w:val="Text"/>
        <w:numPr>
          <w:ilvl w:val="0"/>
          <w:numId w:val="28"/>
        </w:numPr>
        <w:spacing w:line="276" w:lineRule="auto"/>
        <w:rPr>
          <w:iCs/>
        </w:rPr>
      </w:pPr>
      <w:r>
        <w:t>Ampia gamma di optional</w:t>
      </w:r>
    </w:p>
    <w:p w:rsidR="00EA3976" w:rsidRPr="0034512F" w:rsidRDefault="00EA3976" w:rsidP="00EA3976">
      <w:pPr>
        <w:pStyle w:val="Text"/>
        <w:numPr>
          <w:ilvl w:val="0"/>
          <w:numId w:val="28"/>
        </w:numPr>
        <w:spacing w:line="276" w:lineRule="auto"/>
        <w:rPr>
          <w:iCs/>
          <w:spacing w:val="-4"/>
        </w:rPr>
      </w:pPr>
      <w:r w:rsidRPr="0034512F">
        <w:rPr>
          <w:spacing w:val="-4"/>
        </w:rPr>
        <w:t>Struttura robusta che gli consente di resistere a terremoti e grossi carichi di vento</w:t>
      </w:r>
    </w:p>
    <w:p w:rsidR="00EA3976" w:rsidRPr="0034512F" w:rsidRDefault="00EA3976" w:rsidP="00EA3976">
      <w:pPr>
        <w:pStyle w:val="Text"/>
        <w:numPr>
          <w:ilvl w:val="0"/>
          <w:numId w:val="28"/>
        </w:numPr>
        <w:spacing w:line="276" w:lineRule="auto"/>
        <w:rPr>
          <w:iCs/>
          <w:spacing w:val="-2"/>
        </w:rPr>
      </w:pPr>
      <w:r w:rsidRPr="0034512F">
        <w:rPr>
          <w:spacing w:val="-2"/>
        </w:rPr>
        <w:t xml:space="preserve">Trasportabilità e tempo di montaggio ridotto grazie ai componenti principali realizzati in forma di moduli a container con cablaggio a innesto – </w:t>
      </w:r>
      <w:r w:rsidR="001B5082" w:rsidRPr="0034512F">
        <w:rPr>
          <w:spacing w:val="-2"/>
        </w:rPr>
        <w:t>“Plug &amp; Work”</w:t>
      </w:r>
    </w:p>
    <w:p w:rsidR="008728A3" w:rsidRPr="00EA3976" w:rsidRDefault="008728A3" w:rsidP="00EA3976">
      <w:pPr>
        <w:pStyle w:val="Text"/>
        <w:numPr>
          <w:ilvl w:val="0"/>
          <w:numId w:val="28"/>
        </w:numPr>
        <w:spacing w:line="276" w:lineRule="auto"/>
        <w:rPr>
          <w:iCs/>
        </w:rPr>
      </w:pPr>
      <w:r>
        <w:t>Capacità di immagazzinaggio del silo di carico fino a 517</w:t>
      </w:r>
      <w:r w:rsidR="0034512F">
        <w:t> </w:t>
      </w:r>
      <w:r>
        <w:t>t</w:t>
      </w:r>
    </w:p>
    <w:p w:rsidR="00E1612A" w:rsidRDefault="00E1612A" w:rsidP="00DB6D77">
      <w:pPr>
        <w:pStyle w:val="Text"/>
        <w:spacing w:line="276" w:lineRule="auto"/>
        <w:rPr>
          <w:iCs/>
        </w:rPr>
      </w:pPr>
    </w:p>
    <w:p w:rsidR="008728A3" w:rsidRPr="00EA3976" w:rsidRDefault="008728A3" w:rsidP="00DB6D77">
      <w:pPr>
        <w:pStyle w:val="Text"/>
        <w:spacing w:line="276" w:lineRule="auto"/>
        <w:rPr>
          <w:iCs/>
        </w:rPr>
      </w:pPr>
    </w:p>
    <w:p w:rsidR="0081485F" w:rsidRPr="0081485F" w:rsidRDefault="0081485F" w:rsidP="0081485F">
      <w:pPr>
        <w:pStyle w:val="Text"/>
        <w:spacing w:line="276" w:lineRule="auto"/>
        <w:rPr>
          <w:b/>
        </w:rPr>
      </w:pPr>
      <w:r>
        <w:rPr>
          <w:b/>
        </w:rPr>
        <w:t xml:space="preserve">Tecnologie di riciclaggio all'avanguardia BENNINGHOVEN </w:t>
      </w:r>
    </w:p>
    <w:p w:rsidR="0081485F" w:rsidRDefault="0081485F" w:rsidP="0081485F">
      <w:pPr>
        <w:pStyle w:val="Text"/>
        <w:spacing w:line="276" w:lineRule="auto"/>
      </w:pPr>
      <w:r>
        <w:t>La lavorazione di asfalto riciclato va di pari passo con la preservazione delle risorse naturali. Questo non è che uno dei numerosi motivi che spingono al riciclaggio; le normative nazionali, la riduzione di emissioni e la maggiore efficienza rappresentano argomentazioni valide per affidarsi alla tecnologia ecologica di BENNINGHOVEN. Le</w:t>
      </w:r>
      <w:r w:rsidR="0034512F">
        <w:t> </w:t>
      </w:r>
      <w:r>
        <w:t>tecnologie seguenti possono essere integrate negli impianti TBA:</w:t>
      </w:r>
    </w:p>
    <w:p w:rsidR="0081485F" w:rsidRDefault="0081485F" w:rsidP="0081485F">
      <w:pPr>
        <w:pStyle w:val="Text"/>
        <w:spacing w:line="276" w:lineRule="auto"/>
      </w:pPr>
    </w:p>
    <w:p w:rsidR="0081485F" w:rsidRDefault="0081485F" w:rsidP="007278D0">
      <w:pPr>
        <w:pStyle w:val="Text"/>
        <w:numPr>
          <w:ilvl w:val="0"/>
          <w:numId w:val="30"/>
        </w:numPr>
        <w:spacing w:line="276" w:lineRule="auto"/>
      </w:pPr>
      <w:r>
        <w:t>Sistemi di aggiunta di riciclato a freddo:</w:t>
      </w:r>
    </w:p>
    <w:p w:rsidR="0081485F" w:rsidRDefault="0081485F" w:rsidP="007278D0">
      <w:pPr>
        <w:pStyle w:val="Text"/>
        <w:spacing w:line="276" w:lineRule="auto"/>
        <w:ind w:firstLine="360"/>
      </w:pPr>
      <w:r>
        <w:t>Aggiunta miscelatore – per percentuali di materiale riciclato fino al 30</w:t>
      </w:r>
      <w:r w:rsidR="0034512F">
        <w:t> </w:t>
      </w:r>
      <w:r>
        <w:t>%</w:t>
      </w:r>
    </w:p>
    <w:p w:rsidR="0081485F" w:rsidRDefault="0081485F" w:rsidP="007278D0">
      <w:pPr>
        <w:pStyle w:val="Text"/>
        <w:spacing w:line="276" w:lineRule="auto"/>
        <w:ind w:firstLine="360"/>
      </w:pPr>
      <w:r>
        <w:t xml:space="preserve">Aggiunta </w:t>
      </w:r>
      <w:proofErr w:type="spellStart"/>
      <w:r>
        <w:t>multivariabile</w:t>
      </w:r>
      <w:proofErr w:type="spellEnd"/>
      <w:r>
        <w:t xml:space="preserve"> – per percentuali di materiale riciclato fino al 40</w:t>
      </w:r>
      <w:r w:rsidR="0034512F">
        <w:t> </w:t>
      </w:r>
      <w:r>
        <w:t>%</w:t>
      </w:r>
    </w:p>
    <w:p w:rsidR="0081485F" w:rsidRDefault="0081485F" w:rsidP="0081485F">
      <w:pPr>
        <w:pStyle w:val="Text"/>
        <w:spacing w:line="276" w:lineRule="auto"/>
      </w:pPr>
    </w:p>
    <w:p w:rsidR="0081485F" w:rsidRDefault="0081485F" w:rsidP="007278D0">
      <w:pPr>
        <w:pStyle w:val="Text"/>
        <w:numPr>
          <w:ilvl w:val="0"/>
          <w:numId w:val="30"/>
        </w:numPr>
        <w:spacing w:line="276" w:lineRule="auto"/>
      </w:pPr>
      <w:r>
        <w:t>Sistemi di aggiunta di riciclato a caldo:</w:t>
      </w:r>
    </w:p>
    <w:p w:rsidR="0081485F" w:rsidRDefault="0081485F" w:rsidP="007278D0">
      <w:pPr>
        <w:pStyle w:val="Text"/>
        <w:spacing w:line="276" w:lineRule="auto"/>
        <w:ind w:firstLine="360"/>
      </w:pPr>
      <w:r>
        <w:t>Tamburo parallelo – per percentuali di materiale riciclato fino al 70</w:t>
      </w:r>
      <w:r w:rsidR="0034512F">
        <w:t> </w:t>
      </w:r>
      <w:r>
        <w:t>%</w:t>
      </w:r>
    </w:p>
    <w:p w:rsidR="00147E7D" w:rsidRDefault="0081485F" w:rsidP="007278D0">
      <w:pPr>
        <w:pStyle w:val="Text"/>
        <w:spacing w:line="276" w:lineRule="auto"/>
        <w:ind w:left="360"/>
      </w:pPr>
      <w:r>
        <w:t>Novità: Tamburo di riciclo in controcorrente con generatore di gas caldo – per percentuali di materiale riciclato fino all'80</w:t>
      </w:r>
      <w:r w:rsidR="0034512F">
        <w:t> </w:t>
      </w:r>
      <w:r>
        <w:t>%</w:t>
      </w:r>
    </w:p>
    <w:p w:rsidR="00147E7D" w:rsidRDefault="00147E7D" w:rsidP="005466D6">
      <w:pPr>
        <w:pStyle w:val="Text"/>
        <w:spacing w:line="276" w:lineRule="auto"/>
      </w:pPr>
    </w:p>
    <w:p w:rsidR="00404E54" w:rsidRDefault="00EB6A7A" w:rsidP="007278D0">
      <w:pPr>
        <w:pStyle w:val="Text"/>
        <w:numPr>
          <w:ilvl w:val="0"/>
          <w:numId w:val="30"/>
        </w:numPr>
        <w:spacing w:line="276" w:lineRule="auto"/>
      </w:pPr>
      <w:r>
        <w:t>Combinazione sistema di aggiunta a freddo e a caldo:</w:t>
      </w:r>
      <w:bookmarkStart w:id="0" w:name="_GoBack"/>
      <w:bookmarkEnd w:id="0"/>
    </w:p>
    <w:p w:rsidR="00404E54" w:rsidRDefault="00FB47F8" w:rsidP="00FB47F8">
      <w:pPr>
        <w:pStyle w:val="Text"/>
        <w:spacing w:line="276" w:lineRule="auto"/>
        <w:ind w:left="360"/>
      </w:pPr>
      <w:r>
        <w:t>L'impiego di un sistema di aggiunta a caldo risulta particolarmente adatto per grosse quantità e percentuali elevate di aggiunta di riciclato, fino all'80</w:t>
      </w:r>
      <w:r w:rsidR="0034512F">
        <w:t> </w:t>
      </w:r>
      <w:r>
        <w:t>%. L'installazione di un ulteriore sistema di aggiunta a freddo con possibilità di aggiungere fino al 40</w:t>
      </w:r>
      <w:r w:rsidR="0034512F">
        <w:t> </w:t>
      </w:r>
      <w:r>
        <w:t>% di materiale garantisce al cliente la flessibilità necessaria. Il sistema di aggiunta a freddo può coprire piccole quantità a partire da 2</w:t>
      </w:r>
      <w:r w:rsidR="0034512F">
        <w:t> </w:t>
      </w:r>
      <w:r>
        <w:t xml:space="preserve">t, mentre con il sistema di aggiunta a caldo è possibile gestire grosse commesse. </w:t>
      </w:r>
    </w:p>
    <w:p w:rsidR="00404E54" w:rsidRDefault="00404E54" w:rsidP="005466D6">
      <w:pPr>
        <w:pStyle w:val="Text"/>
        <w:spacing w:line="276" w:lineRule="auto"/>
      </w:pPr>
    </w:p>
    <w:p w:rsidR="00404E54" w:rsidRPr="00F46C83" w:rsidRDefault="00F46C83" w:rsidP="005466D6">
      <w:pPr>
        <w:pStyle w:val="Text"/>
        <w:spacing w:line="276" w:lineRule="auto"/>
        <w:rPr>
          <w:b/>
        </w:rPr>
      </w:pPr>
      <w:r>
        <w:rPr>
          <w:b/>
        </w:rPr>
        <w:t>Il valido sistema della sorella maggiore BA-RPP oggi anche sulla serie TBA</w:t>
      </w:r>
    </w:p>
    <w:p w:rsidR="00F46C83" w:rsidRPr="0034512F" w:rsidRDefault="00F46C83" w:rsidP="005466D6">
      <w:pPr>
        <w:pStyle w:val="Text"/>
        <w:spacing w:line="276" w:lineRule="auto"/>
      </w:pPr>
      <w:r w:rsidRPr="0034512F">
        <w:t>La sfida del riciclaggio a caldo consiste nel portare il materiale riciclabile alla temperatura di lavorazione ottimale di 160</w:t>
      </w:r>
      <w:r w:rsidR="007D5A4E" w:rsidRPr="0034512F">
        <w:t> °C</w:t>
      </w:r>
      <w:r w:rsidRPr="0034512F">
        <w:t xml:space="preserve">, mantenendo i valori delle emissioni entro le soglie stabilite dalla normativa e senza bruciare il bitume contenuto al suo interno, soprattutto in vista della prossima entrata in vigore di nome e valori limite sempre più severi. </w:t>
      </w:r>
    </w:p>
    <w:p w:rsidR="00F46C83" w:rsidRDefault="00F46C83" w:rsidP="005466D6">
      <w:pPr>
        <w:pStyle w:val="Text"/>
        <w:spacing w:line="276" w:lineRule="auto"/>
      </w:pPr>
    </w:p>
    <w:p w:rsidR="00404E54" w:rsidRPr="009B0EC1" w:rsidRDefault="00F46C83" w:rsidP="005466D6">
      <w:pPr>
        <w:pStyle w:val="Text"/>
        <w:spacing w:line="276" w:lineRule="auto"/>
      </w:pPr>
      <w:r>
        <w:t xml:space="preserve">La soluzione ecologica, redditizia e orientata al futuro per questo apparente conflitto di interessi fornita da BENNINGHOVEN è il generatore di gas caldo. Il materiale </w:t>
      </w:r>
      <w:r>
        <w:lastRenderedPageBreak/>
        <w:t>riciclabile viene riscaldato, come anche il minerale bianco, con un bruciatore EVO</w:t>
      </w:r>
      <w:r w:rsidR="0034512F">
        <w:t> </w:t>
      </w:r>
      <w:r>
        <w:t>JET, ma in modo indiretto in un tamburo di riciclo in controcorrente. A seconda della qualità del materiale riciclabile utilizzato, è possibile aggiungere quantità anche superiori al 90</w:t>
      </w:r>
      <w:r w:rsidR="0034512F">
        <w:t> </w:t>
      </w:r>
      <w:r>
        <w:t>%.</w:t>
      </w:r>
    </w:p>
    <w:p w:rsidR="00F46C83" w:rsidRPr="009B0EC1" w:rsidRDefault="00F46C83" w:rsidP="00F46C83">
      <w:pPr>
        <w:pStyle w:val="Text"/>
        <w:spacing w:line="276" w:lineRule="auto"/>
      </w:pPr>
    </w:p>
    <w:p w:rsidR="00F46C83" w:rsidRPr="0034512F" w:rsidRDefault="00F46C83" w:rsidP="00F46C83">
      <w:pPr>
        <w:pStyle w:val="Text"/>
        <w:spacing w:line="276" w:lineRule="auto"/>
        <w:rPr>
          <w:b/>
        </w:rPr>
      </w:pPr>
      <w:r w:rsidRPr="0034512F">
        <w:rPr>
          <w:b/>
        </w:rPr>
        <w:t>Preparazione di asfalto riciclato efficiente dal punto di vista energetico ed ecologico</w:t>
      </w:r>
    </w:p>
    <w:p w:rsidR="00F46C83" w:rsidRDefault="00F46C83" w:rsidP="00F46C83">
      <w:pPr>
        <w:pStyle w:val="Text"/>
        <w:spacing w:line="276" w:lineRule="auto"/>
      </w:pPr>
      <w:r>
        <w:t>A differenza dei classici tamburi paralleli di riciclo, con il sistema di riscaldamento indiretto di gas caldo vengono impiegati tamburi di riciclo in controcorrente che consentono di alimentare il materiale in direzione opposta rispetto alla sorgente di calore. La temperatura in uscita di 160</w:t>
      </w:r>
      <w:r w:rsidR="007D5A4E">
        <w:t> °C</w:t>
      </w:r>
      <w:r>
        <w:t xml:space="preserve"> corrisponde alla temperatura dell'ulteriore lavorazione, la temperatura del gas di scarico è di appena 100</w:t>
      </w:r>
      <w:r w:rsidR="007D5A4E">
        <w:t> °C</w:t>
      </w:r>
      <w:r>
        <w:t xml:space="preserve"> ma si trova al di sopra del punto di rugiada. Queste condizioni rappresentano vantaggi decisivi legati al processo per i gestori degli impianti di miscelazione dell'asfalto: Nella modalità classica di aggiunta di riciclato secondo il principio della corrente continua le emissioni di gas di scarico derivanti limitano la temperatura a 130</w:t>
      </w:r>
      <w:r w:rsidR="007D5A4E">
        <w:t> °C</w:t>
      </w:r>
      <w:r>
        <w:t>, anche se per ragioni fisiche questi gas si attestano su temperature più elevate, portando a un consumo di energia superiore e a una maggiore sollecitazione della depolverizzazione. Per consentire al conglomerato di raggiungere una temperatura di 160</w:t>
      </w:r>
      <w:r w:rsidR="007D5A4E">
        <w:t> °C</w:t>
      </w:r>
      <w:r>
        <w:t xml:space="preserve">, il minerale bianco deve essere spostato surriscaldato. </w:t>
      </w:r>
    </w:p>
    <w:p w:rsidR="00F46C83" w:rsidRDefault="00F46C83" w:rsidP="00F46C83">
      <w:pPr>
        <w:pStyle w:val="Text"/>
        <w:spacing w:line="276" w:lineRule="auto"/>
      </w:pPr>
    </w:p>
    <w:p w:rsidR="00F46C83" w:rsidRDefault="00F46C83" w:rsidP="00F46C83">
      <w:pPr>
        <w:pStyle w:val="Text"/>
        <w:spacing w:line="276" w:lineRule="auto"/>
      </w:pPr>
      <w:r>
        <w:t>Il bruciatore EVO</w:t>
      </w:r>
      <w:r w:rsidR="0034512F">
        <w:t> </w:t>
      </w:r>
      <w:r>
        <w:t>JET può essere alimentato come sempre con diversi tipi di combustibile e rilascia la quantità di energia termica necessaria all'essiccazione e al riscaldamento dei materiali riciclabili. L'aria calda prodotta viene mescolata, sempre secondo il principio di funzionamento di controcorrente, in modo intensivo con l'aria di ricircolo. Durante questo processo, gli idrocarburi (</w:t>
      </w:r>
      <w:r w:rsidR="001B5082">
        <w:t>“</w:t>
      </w:r>
      <w:proofErr w:type="spellStart"/>
      <w:r w:rsidR="001B5082">
        <w:t>Cges</w:t>
      </w:r>
      <w:proofErr w:type="spellEnd"/>
      <w:r w:rsidR="001B5082">
        <w:t>”</w:t>
      </w:r>
      <w:r>
        <w:t>) presenti nell'aria di ricircolo vengono eliminati quasi completamente.</w:t>
      </w:r>
    </w:p>
    <w:p w:rsidR="00F46C83" w:rsidRDefault="00F46C83" w:rsidP="00F46C83">
      <w:pPr>
        <w:pStyle w:val="Text"/>
        <w:spacing w:line="276" w:lineRule="auto"/>
      </w:pPr>
    </w:p>
    <w:p w:rsidR="00F46C83" w:rsidRDefault="00F46C83" w:rsidP="00F46C83">
      <w:pPr>
        <w:pStyle w:val="Text"/>
        <w:spacing w:line="276" w:lineRule="auto"/>
      </w:pPr>
      <w:r>
        <w:t>Il generatore di gas caldo BENNINGHOVEN rappresenta un contributo di valore nella strada verso l'efficienza energetica, l'economicità e la tutela attiva dell'ambiente.</w:t>
      </w:r>
    </w:p>
    <w:p w:rsidR="00404E54" w:rsidRDefault="00404E54" w:rsidP="005466D6">
      <w:pPr>
        <w:pStyle w:val="Text"/>
        <w:spacing w:line="276" w:lineRule="auto"/>
      </w:pPr>
    </w:p>
    <w:p w:rsidR="00F46C83" w:rsidRDefault="00F46C83" w:rsidP="00F46C83">
      <w:pPr>
        <w:pStyle w:val="Text"/>
        <w:spacing w:line="276" w:lineRule="auto"/>
        <w:rPr>
          <w:b/>
        </w:rPr>
      </w:pPr>
    </w:p>
    <w:p w:rsidR="00F46C83" w:rsidRDefault="00F46C83" w:rsidP="00F46C83">
      <w:pPr>
        <w:pStyle w:val="Text"/>
        <w:spacing w:line="276" w:lineRule="auto"/>
        <w:rPr>
          <w:b/>
        </w:rPr>
      </w:pPr>
      <w:r>
        <w:rPr>
          <w:b/>
        </w:rPr>
        <w:t>Punti di forza del generatore di gas caldo BENNINGHOVEN:</w:t>
      </w:r>
    </w:p>
    <w:p w:rsidR="00F46C83" w:rsidRPr="00F46C83" w:rsidRDefault="00F46C83" w:rsidP="00F46C83">
      <w:pPr>
        <w:pStyle w:val="Text"/>
        <w:spacing w:line="276" w:lineRule="auto"/>
        <w:rPr>
          <w:b/>
        </w:rPr>
      </w:pPr>
    </w:p>
    <w:p w:rsidR="00F46C83" w:rsidRDefault="00F46C83" w:rsidP="00F46C83">
      <w:pPr>
        <w:pStyle w:val="Text"/>
        <w:numPr>
          <w:ilvl w:val="0"/>
          <w:numId w:val="29"/>
        </w:numPr>
        <w:spacing w:line="276" w:lineRule="auto"/>
      </w:pPr>
      <w:r>
        <w:t>Conveniente: È possibile aumentare sensibilmente la percentuale di aggiunta di materiale riciclato, a seconda della qualità, fino a più del 90</w:t>
      </w:r>
      <w:r w:rsidR="0034512F">
        <w:t> </w:t>
      </w:r>
      <w:r>
        <w:t>+</w:t>
      </w:r>
      <w:r w:rsidR="0034512F">
        <w:t> </w:t>
      </w:r>
      <w:r>
        <w:t>X</w:t>
      </w:r>
      <w:r w:rsidR="0034512F">
        <w:t> </w:t>
      </w:r>
      <w:r>
        <w:t>%. Un</w:t>
      </w:r>
      <w:r w:rsidR="0034512F">
        <w:t> </w:t>
      </w:r>
      <w:r>
        <w:t>chiaro valore aggiunto.</w:t>
      </w:r>
    </w:p>
    <w:p w:rsidR="00F46C83" w:rsidRDefault="00F46C83" w:rsidP="00F46C83">
      <w:pPr>
        <w:pStyle w:val="Text"/>
        <w:spacing w:line="276" w:lineRule="auto"/>
      </w:pPr>
    </w:p>
    <w:p w:rsidR="00F46C83" w:rsidRDefault="00F46C83" w:rsidP="00F46C83">
      <w:pPr>
        <w:pStyle w:val="Text"/>
        <w:numPr>
          <w:ilvl w:val="0"/>
          <w:numId w:val="29"/>
        </w:numPr>
        <w:spacing w:line="276" w:lineRule="auto"/>
      </w:pPr>
      <w:r>
        <w:t xml:space="preserve">Efficiente dal punto di vista energetico: Il fabbisogno totale di energia per il funzionamento dell'impianto diminuisce. </w:t>
      </w:r>
    </w:p>
    <w:p w:rsidR="00F46C83" w:rsidRDefault="00F46C83" w:rsidP="00F46C83">
      <w:pPr>
        <w:pStyle w:val="Text"/>
        <w:spacing w:line="276" w:lineRule="auto"/>
      </w:pPr>
    </w:p>
    <w:p w:rsidR="00F46C83" w:rsidRDefault="00F46C83" w:rsidP="00F46C83">
      <w:pPr>
        <w:pStyle w:val="Text"/>
        <w:numPr>
          <w:ilvl w:val="0"/>
          <w:numId w:val="29"/>
        </w:numPr>
        <w:spacing w:line="276" w:lineRule="auto"/>
      </w:pPr>
      <w:r>
        <w:t>Realizzato nel rispetto dell'ambiente: Grazie all’impiego di un generatore di gas caldo, i valori di emissione rimangono nettamente al di sotto del livello stabilito dalla legge. (conforme ai requisiti del regolamento TA-</w:t>
      </w:r>
      <w:proofErr w:type="spellStart"/>
      <w:r>
        <w:t>Luft</w:t>
      </w:r>
      <w:proofErr w:type="spellEnd"/>
      <w:r>
        <w:t>)</w:t>
      </w:r>
    </w:p>
    <w:p w:rsidR="00404E54" w:rsidRDefault="00404E54" w:rsidP="005466D6">
      <w:pPr>
        <w:pStyle w:val="Text"/>
        <w:spacing w:line="276" w:lineRule="auto"/>
      </w:pPr>
    </w:p>
    <w:p w:rsidR="002B5FF2" w:rsidRDefault="002B5FF2" w:rsidP="005466D6">
      <w:pPr>
        <w:pStyle w:val="Text"/>
        <w:spacing w:line="276" w:lineRule="auto"/>
        <w:rPr>
          <w:rStyle w:val="Hervorhebung"/>
        </w:rPr>
      </w:pPr>
    </w:p>
    <w:tbl>
      <w:tblPr>
        <w:tblStyle w:val="Basic"/>
        <w:tblW w:w="0" w:type="auto"/>
        <w:tblCellSpacing w:w="71" w:type="dxa"/>
        <w:tblLook w:val="04A0" w:firstRow="1" w:lastRow="0" w:firstColumn="1" w:lastColumn="0" w:noHBand="0" w:noVBand="1"/>
      </w:tblPr>
      <w:tblGrid>
        <w:gridCol w:w="5104"/>
        <w:gridCol w:w="4704"/>
      </w:tblGrid>
      <w:tr w:rsidR="00D166AC" w:rsidTr="00411224">
        <w:trPr>
          <w:cnfStyle w:val="100000000000" w:firstRow="1" w:lastRow="0" w:firstColumn="0" w:lastColumn="0" w:oddVBand="0" w:evenVBand="0" w:oddHBand="0" w:evenHBand="0" w:firstRowFirstColumn="0" w:firstRowLastColumn="0" w:lastRowFirstColumn="0" w:lastRowLastColumn="0"/>
          <w:tblCellSpacing w:w="71" w:type="dxa"/>
        </w:trPr>
        <w:tc>
          <w:tcPr>
            <w:tcW w:w="4891" w:type="dxa"/>
            <w:tcBorders>
              <w:right w:val="single" w:sz="4" w:space="0" w:color="auto"/>
            </w:tcBorders>
          </w:tcPr>
          <w:p w:rsidR="00F631EC" w:rsidRDefault="00404E54" w:rsidP="00D166AC">
            <w:r>
              <w:rPr>
                <w:noProof/>
              </w:rPr>
              <w:drawing>
                <wp:inline distT="0" distB="0" distL="0" distR="0" wp14:anchorId="4C4D28C7" wp14:editId="47222778">
                  <wp:extent cx="2979683" cy="1922571"/>
                  <wp:effectExtent l="0" t="0" r="0" b="190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985318" cy="1926207"/>
                          </a:xfrm>
                          <a:prstGeom prst="rect">
                            <a:avLst/>
                          </a:prstGeom>
                        </pic:spPr>
                      </pic:pic>
                    </a:graphicData>
                  </a:graphic>
                </wp:inline>
              </w:drawing>
            </w:r>
          </w:p>
          <w:p w:rsidR="00F631EC" w:rsidRDefault="00F631EC" w:rsidP="00D166AC"/>
          <w:p w:rsidR="00F631EC" w:rsidRDefault="00F631EC" w:rsidP="00D166AC"/>
          <w:p w:rsidR="00411224" w:rsidRDefault="00411224" w:rsidP="00D166AC"/>
          <w:p w:rsidR="00F631EC" w:rsidRDefault="00404E54" w:rsidP="00D166AC">
            <w:r>
              <w:rPr>
                <w:noProof/>
              </w:rPr>
              <w:drawing>
                <wp:inline distT="0" distB="0" distL="0" distR="0" wp14:anchorId="5537DDFF" wp14:editId="5B4C5F18">
                  <wp:extent cx="2979683" cy="2126580"/>
                  <wp:effectExtent l="0" t="0" r="0" b="762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985885" cy="2131006"/>
                          </a:xfrm>
                          <a:prstGeom prst="rect">
                            <a:avLst/>
                          </a:prstGeom>
                        </pic:spPr>
                      </pic:pic>
                    </a:graphicData>
                  </a:graphic>
                </wp:inline>
              </w:drawing>
            </w:r>
          </w:p>
          <w:p w:rsidR="00F631EC" w:rsidRDefault="00F631EC" w:rsidP="00D166AC"/>
          <w:p w:rsidR="00F631EC" w:rsidRDefault="00F631EC" w:rsidP="00D166AC"/>
          <w:p w:rsidR="007E77C8" w:rsidRDefault="00404E54" w:rsidP="00D166AC">
            <w:r>
              <w:rPr>
                <w:noProof/>
              </w:rPr>
              <w:drawing>
                <wp:inline distT="0" distB="0" distL="0" distR="0" wp14:anchorId="1BE9054C" wp14:editId="557CE576">
                  <wp:extent cx="2979683" cy="2487399"/>
                  <wp:effectExtent l="0" t="0" r="0" b="825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011665" cy="2514097"/>
                          </a:xfrm>
                          <a:prstGeom prst="rect">
                            <a:avLst/>
                          </a:prstGeom>
                        </pic:spPr>
                      </pic:pic>
                    </a:graphicData>
                  </a:graphic>
                </wp:inline>
              </w:drawing>
            </w:r>
          </w:p>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832444" w:rsidP="00D166AC">
            <w:r>
              <w:rPr>
                <w:noProof/>
              </w:rPr>
              <w:lastRenderedPageBreak/>
              <mc:AlternateContent>
                <mc:Choice Requires="wps">
                  <w:drawing>
                    <wp:anchor distT="0" distB="0" distL="114300" distR="114300" simplePos="0" relativeHeight="251665408" behindDoc="0" locked="0" layoutInCell="1" allowOverlap="1" wp14:anchorId="027F6079" wp14:editId="6BA4B3A2">
                      <wp:simplePos x="0" y="0"/>
                      <wp:positionH relativeFrom="column">
                        <wp:posOffset>1191895</wp:posOffset>
                      </wp:positionH>
                      <wp:positionV relativeFrom="paragraph">
                        <wp:posOffset>1113790</wp:posOffset>
                      </wp:positionV>
                      <wp:extent cx="179705" cy="179705"/>
                      <wp:effectExtent l="0" t="0" r="10795" b="10795"/>
                      <wp:wrapNone/>
                      <wp:docPr id="19" name="Ellipse 19"/>
                      <wp:cNvGraphicFramePr/>
                      <a:graphic xmlns:a="http://schemas.openxmlformats.org/drawingml/2006/main">
                        <a:graphicData uri="http://schemas.microsoft.com/office/word/2010/wordprocessingShape">
                          <wps:wsp>
                            <wps:cNvSpPr/>
                            <wps:spPr>
                              <a:xfrm>
                                <a:off x="0" y="0"/>
                                <a:ext cx="179705" cy="179705"/>
                              </a:xfrm>
                              <a:prstGeom prst="ellipse">
                                <a:avLst/>
                              </a:prstGeom>
                              <a:solidFill>
                                <a:srgbClr val="0062A7"/>
                              </a:solidFill>
                              <a:ln w="6350" cap="flat" cmpd="sng" algn="ctr">
                                <a:solidFill>
                                  <a:sysClr val="window" lastClr="FFFFFF"/>
                                </a:solidFill>
                                <a:prstDash val="solid"/>
                              </a:ln>
                              <a:effectLst/>
                            </wps:spPr>
                            <wps:txbx>
                              <w:txbxContent>
                                <w:p w:rsidR="00832444" w:rsidRPr="00832444" w:rsidRDefault="00832444" w:rsidP="00832444">
                                  <w:pPr>
                                    <w:jc w:val="center"/>
                                    <w:rPr>
                                      <w:color w:val="FFFFFF" w:themeColor="background1"/>
                                    </w:rPr>
                                  </w:pPr>
                                  <w:r>
                                    <w:rPr>
                                      <w:color w:val="FFFFFF" w:themeColor="background1"/>
                                    </w:rPr>
                                    <w:t>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27F6079" id="Ellipse 19" o:spid="_x0000_s1026" style="position:absolute;margin-left:93.85pt;margin-top:87.7pt;width:14.15pt;height:14.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anPaAIAAOYEAAAOAAAAZHJzL2Uyb0RvYy54bWysVE1PGzEQvVfqf7B8L5tQASVigyJoqkoI&#10;IkHFeeK1s5b81bGT3fTXd+zdhEI5Vc3BmbHH8/H83l5d99awncSovav59GTCmXTCN9ptav7jafnp&#10;C2cxgWvAeCdrvpeRX88/frjqwkye+tabRiKjJC7OulDzNqUwq6ooWmkhnvggHR0qjxYSubipGoSO&#10;sltTnU4m51XnsQnohYyRdm+HQz4v+ZWSIj0oFWVipubUWyorlnWd12p+BbMNQmi1GNuAf+jCgnZU&#10;9JjqFhKwLeq/Ulkt0Eev0onwtvJKaSHLDDTNdPJmmscWgiyzEDgxHGGK/y+tuN+tkOmG3u6SMweW&#10;3uirMTpEyWiH4OlCnFHUY1jh6EUy86y9Qpv/aQrWF0j3R0hln5igzenF5cXkjDNBR6NNWaqXywFj&#10;+ia9ZdmouRxqFyxhdxfTEH2IyuWiN7pZamOKg5v1jUG2g/zAk/PTxUVumgq8CjOOdTU//3xGHBBA&#10;PFMGEpk20OTRbTgDsyECi4Sl9KvLcR+PJYh6je84MxATbdZ8WX7v1cw930Jsh95KxjHMuNy6LPQc&#10;R8woD7hmK/XrfgR77Zs9vRD6gboxiKWmxHdUfwVIXKWJSH/pgRZlPE3pR4uz1uOv9/ZzPFGITjnr&#10;iPsEwc8toKSxvjsiVxbKwcCDsT4YbmtvPKE9JWUHUUy6gMkcTIXePpMsF7kKHYETVGsAd3Ru0qBB&#10;EraQi0UJI0EESHfuMYicPEOUIXzqnwHDSI9EvLr3B13A7A1Fhth80/nFNnmlC38ypAOOxIzskJgK&#10;R0bhZ7X+6Zeol8/T/DcAAAD//wMAUEsDBBQABgAIAAAAIQCrHQ3U3AAAAAsBAAAPAAAAZHJzL2Rv&#10;d25yZXYueG1sTE/LTsMwELwj8Q/WInGjTh8kUYhTISQ4IFGJlg9w4s0D7HUUu034e5YT3GY0o3mU&#10;+8VZccEpDJ4UrFcJCKTGm4E6BR+n57scRIiajLaeUME3BthX11elLoyf6R0vx9gJDqFQaAV9jGMh&#10;ZWh6dDqs/IjEWusnpyPTqZNm0jOHOys3SZJKpwfihl6P+NRj83U8O+793NnUz9uXum3zwyGezPIq&#10;35S6vVkeH0BEXOKfGX7n83SoeFPtz2SCsMzzLGMrg+x+B4Idm3XK72oGyTYDWZXy/4fqBwAA//8D&#10;AFBLAQItABQABgAIAAAAIQC2gziS/gAAAOEBAAATAAAAAAAAAAAAAAAAAAAAAABbQ29udGVudF9U&#10;eXBlc10ueG1sUEsBAi0AFAAGAAgAAAAhADj9If/WAAAAlAEAAAsAAAAAAAAAAAAAAAAALwEAAF9y&#10;ZWxzLy5yZWxzUEsBAi0AFAAGAAgAAAAhACT1qc9oAgAA5gQAAA4AAAAAAAAAAAAAAAAALgIAAGRy&#10;cy9lMm9Eb2MueG1sUEsBAi0AFAAGAAgAAAAhAKsdDdTcAAAACwEAAA8AAAAAAAAAAAAAAAAAwgQA&#10;AGRycy9kb3ducmV2LnhtbFBLBQYAAAAABAAEAPMAAADLBQAAAAA=&#10;" fillcolor="#0062a7" strokecolor="window" strokeweight=".5pt">
                      <v:textbox inset="0,0,0,0">
                        <w:txbxContent>
                          <w:p w:rsidR="00832444" w:rsidRPr="00832444" w:rsidRDefault="00832444" w:rsidP="00832444">
                            <w:pPr>
                              <w:jc w:val="center"/>
                              <w:rPr>
                                <w:color w:val="FFFFFF" w:themeColor="background1"/>
                              </w:rPr>
                            </w:pPr>
                            <w:r>
                              <w:rPr>
                                <w:color w:val="FFFFFF" w:themeColor="background1"/>
                              </w:rPr>
                              <w:t>4</w:t>
                            </w:r>
                          </w:p>
                        </w:txbxContent>
                      </v:textbox>
                    </v:oval>
                  </w:pict>
                </mc:Fallback>
              </mc:AlternateContent>
            </w:r>
            <w:r>
              <w:rPr>
                <w:noProof/>
              </w:rPr>
              <mc:AlternateContent>
                <mc:Choice Requires="wps">
                  <w:drawing>
                    <wp:anchor distT="0" distB="0" distL="114300" distR="114300" simplePos="0" relativeHeight="251659264" behindDoc="0" locked="0" layoutInCell="1" allowOverlap="1" wp14:anchorId="5B753FB9" wp14:editId="3C1A7FCA">
                      <wp:simplePos x="0" y="0"/>
                      <wp:positionH relativeFrom="column">
                        <wp:posOffset>2319020</wp:posOffset>
                      </wp:positionH>
                      <wp:positionV relativeFrom="paragraph">
                        <wp:posOffset>480060</wp:posOffset>
                      </wp:positionV>
                      <wp:extent cx="179705" cy="179705"/>
                      <wp:effectExtent l="0" t="0" r="10795" b="10795"/>
                      <wp:wrapNone/>
                      <wp:docPr id="8" name="Ellipse 8"/>
                      <wp:cNvGraphicFramePr/>
                      <a:graphic xmlns:a="http://schemas.openxmlformats.org/drawingml/2006/main">
                        <a:graphicData uri="http://schemas.microsoft.com/office/word/2010/wordprocessingShape">
                          <wps:wsp>
                            <wps:cNvSpPr/>
                            <wps:spPr>
                              <a:xfrm>
                                <a:off x="0" y="0"/>
                                <a:ext cx="179705" cy="179705"/>
                              </a:xfrm>
                              <a:prstGeom prst="ellipse">
                                <a:avLst/>
                              </a:prstGeom>
                              <a:solidFill>
                                <a:schemeClr val="tx2"/>
                              </a:solidFill>
                              <a:ln w="63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C53621" w:rsidRDefault="00C53621" w:rsidP="00C53621">
                                  <w:pPr>
                                    <w:jc w:val="center"/>
                                  </w:pPr>
                                  <w: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B753FB9" id="Ellipse 8" o:spid="_x0000_s1027" style="position:absolute;margin-left:182.6pt;margin-top:37.8pt;width:14.1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oOmQIAALcFAAAOAAAAZHJzL2Uyb0RvYy54bWysVEtv2zAMvg/YfxB0X+1k6GNBnSJo12FA&#10;0RZth54VWYoFyKImKbGzXz9Ksp31gR2G5aBQJvmR/ETy/KJvNdkJ5xWYis6OSkqE4VArs6noj6fr&#10;T2eU+MBMzTQYUdG98PRi+fHDeWcXYg4N6Fo4giDGLzpb0SYEuygKzxvRMn8EVhhUSnAtC3h1m6J2&#10;rEP0VhfzsjwpOnC1dcCF9/j1KivpMuFLKXi4k9KLQHRFMbeQTpfOdTyL5TlbbByzjeJDGuwfsmiZ&#10;Mhh0grpigZGtU2+gWsUdeJDhiENbgJSKi1QDVjMrX1Xz2DArUi1IjrcTTf7/wfLb3b0jqq4oPpRh&#10;LT7RV62V9YKcRXI66xdo82jv3XDzKMZKe+na+I81kD4Rup8IFX0gHD/OTr+clseUcFQNMqIUB2fr&#10;fPgmoCVRqKjIoROTbHfjQ7YerWI4D1rV10rrdIltIi61IzuGDxz6ecwZ8V9YaUO6ip58Pi4T8Atd&#10;arQDwnoze4uAeNogbOQiV5+ksNciJqHNg5BIIdY7zwFeZsU4FybMsqphtcjJHpf4G4ONHin5BBiR&#10;JZY5YQ8Ao2UGGbFz1YN9dBWp9yfnofK/OU8eKTKYMDm3yoB7rzKNVQ2Rs/1IUqYmshT6dZ/aK1nG&#10;L2uo99hyDvIsesuvFT7+DfPhnjkcPhxTXCjhDg+pAV8OBomSBtyv975He5wJ1FLS4TBX1P/cMico&#10;0d8NTkuc/FFwo7AeBbNtLwHbZ4aryvIkooMLehSlg/YZ98wqRkEVMxxjVZQHN14uQ14quKm4WK2S&#10;GU64ZeHGPFoewSOvsZOf+mfm7NDxAUflFsZBZ4tXXZ9to6eB1TaAVGkkDjwOjON2SK0zbLK4fv68&#10;J6vDvl3+BgAA//8DAFBLAwQUAAYACAAAACEAmLuMzd8AAAAKAQAADwAAAGRycy9kb3ducmV2Lnht&#10;bEyPQU+DQBCF7yb+h82YeLOLRaAgS2OMTbyY2OrF28KOgGVnCbst+O8dT3qcvC/vfVNuFzuIM06+&#10;d6TgdhWBQGqc6alV8P62u9mA8EGT0YMjVPCNHrbV5UWpC+Nm2uP5EFrBJeQLraALYSyk9E2HVvuV&#10;G5E4+3ST1YHPqZVm0jOX20GuoyiVVvfEC50e8bHD5ng4WQXu+DU/Z3udvTy94l29+zB+k+VKXV8t&#10;D/cgAi7hD4ZffVaHip1qdyLjxaAgTpM1owqyJAXBQJzHCYiaySjOQVal/P9C9QMAAP//AwBQSwEC&#10;LQAUAAYACAAAACEAtoM4kv4AAADhAQAAEwAAAAAAAAAAAAAAAAAAAAAAW0NvbnRlbnRfVHlwZXNd&#10;LnhtbFBLAQItABQABgAIAAAAIQA4/SH/1gAAAJQBAAALAAAAAAAAAAAAAAAAAC8BAABfcmVscy8u&#10;cmVsc1BLAQItABQABgAIAAAAIQCJ+0oOmQIAALcFAAAOAAAAAAAAAAAAAAAAAC4CAABkcnMvZTJv&#10;RG9jLnhtbFBLAQItABQABgAIAAAAIQCYu4zN3wAAAAoBAAAPAAAAAAAAAAAAAAAAAPMEAABkcnMv&#10;ZG93bnJldi54bWxQSwUGAAAAAAQABADzAAAA/wUAAAAA&#10;" fillcolor="#0062a7 [3215]" strokecolor="white [3212]" strokeweight=".5pt">
                      <v:textbox inset="0,0,0,0">
                        <w:txbxContent>
                          <w:p w:rsidR="00C53621" w:rsidRDefault="00C53621" w:rsidP="00C53621">
                            <w:pPr>
                              <w:jc w:val="center"/>
                            </w:pPr>
                            <w:r>
                              <w:t>1</w:t>
                            </w:r>
                          </w:p>
                        </w:txbxContent>
                      </v:textbox>
                    </v:oval>
                  </w:pict>
                </mc:Fallback>
              </mc:AlternateContent>
            </w:r>
            <w:r>
              <w:rPr>
                <w:noProof/>
              </w:rPr>
              <mc:AlternateContent>
                <mc:Choice Requires="wps">
                  <w:drawing>
                    <wp:anchor distT="0" distB="0" distL="114300" distR="114300" simplePos="0" relativeHeight="251661312" behindDoc="0" locked="0" layoutInCell="1" allowOverlap="1" wp14:anchorId="5FA52B38" wp14:editId="5E77DE15">
                      <wp:simplePos x="0" y="0"/>
                      <wp:positionH relativeFrom="column">
                        <wp:posOffset>1915795</wp:posOffset>
                      </wp:positionH>
                      <wp:positionV relativeFrom="paragraph">
                        <wp:posOffset>474345</wp:posOffset>
                      </wp:positionV>
                      <wp:extent cx="179705" cy="179705"/>
                      <wp:effectExtent l="0" t="0" r="10795" b="10795"/>
                      <wp:wrapNone/>
                      <wp:docPr id="13" name="Ellipse 13"/>
                      <wp:cNvGraphicFramePr/>
                      <a:graphic xmlns:a="http://schemas.openxmlformats.org/drawingml/2006/main">
                        <a:graphicData uri="http://schemas.microsoft.com/office/word/2010/wordprocessingShape">
                          <wps:wsp>
                            <wps:cNvSpPr/>
                            <wps:spPr>
                              <a:xfrm>
                                <a:off x="0" y="0"/>
                                <a:ext cx="179705" cy="179705"/>
                              </a:xfrm>
                              <a:prstGeom prst="ellipse">
                                <a:avLst/>
                              </a:prstGeom>
                              <a:solidFill>
                                <a:srgbClr val="0062A7"/>
                              </a:solidFill>
                              <a:ln w="6350" cap="flat" cmpd="sng" algn="ctr">
                                <a:solidFill>
                                  <a:sysClr val="window" lastClr="FFFFFF"/>
                                </a:solidFill>
                                <a:prstDash val="solid"/>
                              </a:ln>
                              <a:effectLst/>
                            </wps:spPr>
                            <wps:txbx>
                              <w:txbxContent>
                                <w:p w:rsidR="00832444" w:rsidRPr="00832444" w:rsidRDefault="00832444" w:rsidP="00832444">
                                  <w:pPr>
                                    <w:jc w:val="center"/>
                                    <w:rPr>
                                      <w:color w:val="FFFFFF" w:themeColor="background1"/>
                                    </w:rPr>
                                  </w:pPr>
                                  <w:r>
                                    <w:rPr>
                                      <w:color w:val="FFFFFF" w:themeColor="background1"/>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A52B38" id="Ellipse 13" o:spid="_x0000_s1028" style="position:absolute;margin-left:150.85pt;margin-top:37.35pt;width:14.15pt;height:14.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ToyagIAAO0EAAAOAAAAZHJzL2Uyb0RvYy54bWysVE1PGzEQvVfqf7B8L5sEAW3EBkXQVJUQ&#10;IEHFeeK1s5b81bGT3fTXd+zdhEI5Vc3BmbHH8/H83l5e9dawncSovav59GTCmXTCN9ptav7jafXp&#10;M2cxgWvAeCdrvpeRXy0+frjswlzOfOtNI5FREhfnXah5m1KYV1UUrbQQT3yQjg6VRwuJXNxUDUJH&#10;2a2pZpPJedV5bAJ6IWOk3ZvhkC9KfqWkSPdKRZmYqTn1lsqKZV3ntVpcwnyDEFotxjbgH7qwoB0V&#10;Paa6gQRsi/qvVFYL9NGrdCK8rbxSWsgyA00znbyZ5rGFIMssBE4MR5ji/0sr7nYPyHRDb3fKmQNL&#10;b/TVGB2iZLRD8HQhzinqMTzg6EUy86y9Qpv/aQrWF0j3R0hln5igzenFl4vJGWeCjkabslQvlwPG&#10;9E16y7JRcznULljC7jamIfoQlctFb3Sz0sYUBzfra4NsB/mBJ+ez5UVumgq8CjOOdTU/Pz0jDggg&#10;nikDiUwbaPLoNpyB2RCBRcJS+tXluI/HEkS9xnecGYiJNmu+Kr/3auaebyC2Q28l4xhmXG5dFnqO&#10;I2aUB1yzlfp1Xx5llm/knbVv9vRQ6AcGxyBWmvLfUhsPgERZGoxkmO5pUcbTsH60OGs9/npvP8cT&#10;k+iUs44kQEj83AJKmu67I45lvRwMPBjrg+G29toT6FMSeBDFpAuYzMFU6O0zqXOZq9AROEG1BoxH&#10;5zoNUiR9C7lcljDSRYB06x6DyMkzUhnJp/4ZMIwsSUSvO3+QB8zfMGWIzTedX26TV7rQ6AVHIkh2&#10;SFOFKqP+s2j/9EvUy1dq8RsAAP//AwBQSwMEFAAGAAgAAAAhADPsxlbdAAAACgEAAA8AAABkcnMv&#10;ZG93bnJldi54bWxMj8tOwzAQRfdI/IM1SOyoXVy1VYhTISRYVKISLR/gxJMHxOModpv07xlWsBpd&#10;zdF95LvZ9+KCY+wCGVguFAikKriOGgOfp9eHLYiYLDnbB0IDV4ywK25vcpu5MNEHXo6pEWxCMbMG&#10;2pSGTMpYtehtXIQBiX91GL1NLMdGutFObO57+ajUWnrbESe0dsCXFqvv49lz7teqX4dJv5V1vT0c&#10;0snNe/luzP3d/PwEIuGc/mD4rc/VoeBOZTiTi6I3oNVyw6iBzYovA1orHlcyqbQCWeTy/4TiBwAA&#10;//8DAFBLAQItABQABgAIAAAAIQC2gziS/gAAAOEBAAATAAAAAAAAAAAAAAAAAAAAAABbQ29udGVu&#10;dF9UeXBlc10ueG1sUEsBAi0AFAAGAAgAAAAhADj9If/WAAAAlAEAAAsAAAAAAAAAAAAAAAAALwEA&#10;AF9yZWxzLy5yZWxzUEsBAi0AFAAGAAgAAAAhAICFOjJqAgAA7QQAAA4AAAAAAAAAAAAAAAAALgIA&#10;AGRycy9lMm9Eb2MueG1sUEsBAi0AFAAGAAgAAAAhADPsxlbdAAAACgEAAA8AAAAAAAAAAAAAAAAA&#10;xAQAAGRycy9kb3ducmV2LnhtbFBLBQYAAAAABAAEAPMAAADOBQAAAAA=&#10;" fillcolor="#0062a7" strokecolor="window" strokeweight=".5pt">
                      <v:textbox inset="0,0,0,0">
                        <w:txbxContent>
                          <w:p w:rsidR="00832444" w:rsidRPr="00832444" w:rsidRDefault="00832444" w:rsidP="00832444">
                            <w:pPr>
                              <w:jc w:val="center"/>
                              <w:rPr>
                                <w:color w:val="FFFFFF" w:themeColor="background1"/>
                              </w:rPr>
                            </w:pPr>
                            <w:r>
                              <w:rPr>
                                <w:color w:val="FFFFFF" w:themeColor="background1"/>
                              </w:rPr>
                              <w:t>2</w:t>
                            </w:r>
                          </w:p>
                        </w:txbxContent>
                      </v:textbox>
                    </v:oval>
                  </w:pict>
                </mc:Fallback>
              </mc:AlternateContent>
            </w:r>
            <w:r>
              <w:rPr>
                <w:noProof/>
              </w:rPr>
              <mc:AlternateContent>
                <mc:Choice Requires="wps">
                  <w:drawing>
                    <wp:anchor distT="0" distB="0" distL="114300" distR="114300" simplePos="0" relativeHeight="251663360" behindDoc="0" locked="0" layoutInCell="1" allowOverlap="1" wp14:anchorId="378FA432" wp14:editId="1C9AE077">
                      <wp:simplePos x="0" y="0"/>
                      <wp:positionH relativeFrom="column">
                        <wp:posOffset>1282065</wp:posOffset>
                      </wp:positionH>
                      <wp:positionV relativeFrom="paragraph">
                        <wp:posOffset>812165</wp:posOffset>
                      </wp:positionV>
                      <wp:extent cx="179705" cy="179705"/>
                      <wp:effectExtent l="0" t="0" r="10795" b="10795"/>
                      <wp:wrapNone/>
                      <wp:docPr id="18" name="Ellipse 18"/>
                      <wp:cNvGraphicFramePr/>
                      <a:graphic xmlns:a="http://schemas.openxmlformats.org/drawingml/2006/main">
                        <a:graphicData uri="http://schemas.microsoft.com/office/word/2010/wordprocessingShape">
                          <wps:wsp>
                            <wps:cNvSpPr/>
                            <wps:spPr>
                              <a:xfrm>
                                <a:off x="0" y="0"/>
                                <a:ext cx="179705" cy="179705"/>
                              </a:xfrm>
                              <a:prstGeom prst="ellipse">
                                <a:avLst/>
                              </a:prstGeom>
                              <a:solidFill>
                                <a:srgbClr val="0062A7"/>
                              </a:solidFill>
                              <a:ln w="6350" cap="flat" cmpd="sng" algn="ctr">
                                <a:solidFill>
                                  <a:sysClr val="window" lastClr="FFFFFF"/>
                                </a:solidFill>
                                <a:prstDash val="solid"/>
                              </a:ln>
                              <a:effectLst/>
                            </wps:spPr>
                            <wps:txbx>
                              <w:txbxContent>
                                <w:p w:rsidR="00832444" w:rsidRPr="00832444" w:rsidRDefault="00832444" w:rsidP="00832444">
                                  <w:pPr>
                                    <w:jc w:val="center"/>
                                    <w:rPr>
                                      <w:color w:val="FFFFFF" w:themeColor="background1"/>
                                    </w:rPr>
                                  </w:pPr>
                                  <w:r>
                                    <w:rPr>
                                      <w:color w:val="FFFFFF" w:themeColor="background1"/>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8FA432" id="Ellipse 18" o:spid="_x0000_s1029" style="position:absolute;margin-left:100.95pt;margin-top:63.95pt;width:14.15pt;height:14.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db8agIAAO0EAAAOAAAAZHJzL2Uyb0RvYy54bWysVE1PGzEQvVfqf7B8L5uAgDZigyJoqkoI&#10;IkHF2fHaWUv+qu1kN/31ffZuQqGcqubgzIzH8/HmzV5d90aTnQhROVvT6cmEEmG5a5Td1PTH0/LT&#10;Z0piYrZh2llR072I9Hr+8cNV52fi1LVONyIQBLFx1vmatin5WVVF3grD4onzwuJSumBYgho2VRNY&#10;h+hGV6eTyUXVudD44LiIEdbb4ZLOS3wpBU8PUkaRiK4pakvlDOVc57OaX7HZJjDfKj6Wwf6hCsOU&#10;RdJjqFuWGNkG9Vcoo3hw0cl0wp2pnJSKi9IDuplO3nTz2DIvSi8AJ/ojTPH/heX3u1UgqsHsMCnL&#10;DGb0VWvloyCwAJ7Oxxm8Hv0qjFqEmHvtZTD5H12QvkC6P0Iq+kQ4jNPLL5eTc0o4rkYZUaqXxz7E&#10;9E04Q7JQUzHkLliy3V1Mg/fBK6eLTqtmqbQuStisb3QgO5YHPLk4XVzmopHglZu2pKvpxdk5OMAZ&#10;eCY1SxCNR+fRbihhegMC8xRK6leP4z4eU4B6jeso0SwmGGu6LL/3cuaab1lsh9pKxNFN21y6KPQc&#10;W8woD7hmKfXrvgzlLL/IlrVr9hhUcAODo+dLhfh3KGPFAiiLxrCG6QGH1A7NulGipHXh13v27A8m&#10;4ZaSDisAJH5uWRDo7rsFx/K+HIRwENYHwW7NjQPoUyy450XEg5D0QZTBmWds5yJnwRWzHLkGjEfl&#10;Jg2riP3mYrEobtgLz9KdffQ8B89IZSSf+mcW/MiSBHrdu8N6sNkbpgy++aV1i21yUhUaveAIgmQF&#10;O1WoMu5/Xto/9eL18pWa/wYAAP//AwBQSwMEFAAGAAgAAAAhADQRToHfAAAACwEAAA8AAABkcnMv&#10;ZG93bnJldi54bWxMj81OwzAQhO9IvIO1SNyoXRdCSeNUCAkOSFSi5QGc2Pkp9jqK3Sa8PcuJ3nZ3&#10;RjPfFtvZO3a2Y+wDKlguBDCLdTA9tgq+Dq93a2AxaTTaBbQKfmyEbXl9VejchAk/7XmfWkYhGHOt&#10;oEtpyDmPdWe9joswWCStCaPXidax5WbUE4V7x6UQGfe6R2ro9GBfOlt/70+eeo/3LgvT6q1qmvVu&#10;lw5mfucfSt3ezM8bYMnO6d8Mf/iEDiUxVeGEJjKnQIrlE1lJkI80kEOuhARW0eUhk8DLgl/+UP4C&#10;AAD//wMAUEsBAi0AFAAGAAgAAAAhALaDOJL+AAAA4QEAABMAAAAAAAAAAAAAAAAAAAAAAFtDb250&#10;ZW50X1R5cGVzXS54bWxQSwECLQAUAAYACAAAACEAOP0h/9YAAACUAQAACwAAAAAAAAAAAAAAAAAv&#10;AQAAX3JlbHMvLnJlbHNQSwECLQAUAAYACAAAACEAVhnW/GoCAADtBAAADgAAAAAAAAAAAAAAAAAu&#10;AgAAZHJzL2Uyb0RvYy54bWxQSwECLQAUAAYACAAAACEANBFOgd8AAAALAQAADwAAAAAAAAAAAAAA&#10;AADEBAAAZHJzL2Rvd25yZXYueG1sUEsFBgAAAAAEAAQA8wAAANAFAAAAAA==&#10;" fillcolor="#0062a7" strokecolor="window" strokeweight=".5pt">
                      <v:textbox inset="0,0,0,0">
                        <w:txbxContent>
                          <w:p w:rsidR="00832444" w:rsidRPr="00832444" w:rsidRDefault="00832444" w:rsidP="00832444">
                            <w:pPr>
                              <w:jc w:val="center"/>
                              <w:rPr>
                                <w:color w:val="FFFFFF" w:themeColor="background1"/>
                              </w:rPr>
                            </w:pPr>
                            <w:r>
                              <w:rPr>
                                <w:color w:val="FFFFFF" w:themeColor="background1"/>
                              </w:rPr>
                              <w:t>3</w:t>
                            </w:r>
                          </w:p>
                        </w:txbxContent>
                      </v:textbox>
                    </v:oval>
                  </w:pict>
                </mc:Fallback>
              </mc:AlternateContent>
            </w:r>
            <w:r>
              <w:rPr>
                <w:noProof/>
              </w:rPr>
              <w:drawing>
                <wp:inline distT="0" distB="0" distL="0" distR="0" wp14:anchorId="7CA207F3" wp14:editId="6F17E37F">
                  <wp:extent cx="2979861" cy="1939159"/>
                  <wp:effectExtent l="0" t="0" r="0" b="444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985968" cy="1943133"/>
                          </a:xfrm>
                          <a:prstGeom prst="rect">
                            <a:avLst/>
                          </a:prstGeom>
                        </pic:spPr>
                      </pic:pic>
                    </a:graphicData>
                  </a:graphic>
                </wp:inline>
              </w:drawing>
            </w:r>
          </w:p>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714407" w:rsidRDefault="00714407" w:rsidP="00D166AC"/>
          <w:p w:rsidR="00714407" w:rsidRDefault="00714407" w:rsidP="00D166AC"/>
          <w:p w:rsidR="00714407" w:rsidRDefault="00714407" w:rsidP="00D166AC"/>
          <w:p w:rsidR="00714407" w:rsidRDefault="00714407" w:rsidP="00D166AC"/>
          <w:p w:rsidR="00714407" w:rsidRDefault="00714407" w:rsidP="00D166AC"/>
          <w:p w:rsidR="00714407" w:rsidRDefault="00714407" w:rsidP="00D166AC"/>
          <w:p w:rsidR="00714407" w:rsidRDefault="00714407" w:rsidP="00D166AC"/>
          <w:p w:rsidR="00714407" w:rsidRPr="00D166AC" w:rsidRDefault="00714407" w:rsidP="00D166AC">
            <w:r>
              <w:rPr>
                <w:noProof/>
              </w:rPr>
              <w:drawing>
                <wp:inline distT="0" distB="0" distL="0" distR="0" wp14:anchorId="5E21BD7F" wp14:editId="3835B9AE">
                  <wp:extent cx="2992437" cy="1834085"/>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992800" cy="1834307"/>
                          </a:xfrm>
                          <a:prstGeom prst="rect">
                            <a:avLst/>
                          </a:prstGeom>
                        </pic:spPr>
                      </pic:pic>
                    </a:graphicData>
                  </a:graphic>
                </wp:inline>
              </w:drawing>
            </w:r>
          </w:p>
        </w:tc>
        <w:tc>
          <w:tcPr>
            <w:tcW w:w="4491" w:type="dxa"/>
          </w:tcPr>
          <w:p w:rsidR="006D25C0" w:rsidRPr="006D25C0" w:rsidRDefault="007E77C8" w:rsidP="006D25C0">
            <w:pPr>
              <w:pStyle w:val="berschrift3"/>
              <w:outlineLvl w:val="2"/>
            </w:pPr>
            <w:r>
              <w:lastRenderedPageBreak/>
              <w:t>Impianto trasportabile di miscelazione asfalto di tipo TBA</w:t>
            </w:r>
          </w:p>
          <w:p w:rsidR="00D166AC" w:rsidRDefault="00CE00F6" w:rsidP="00493F01">
            <w:pPr>
              <w:jc w:val="both"/>
              <w:rPr>
                <w:sz w:val="20"/>
              </w:rPr>
            </w:pPr>
            <w:r>
              <w:rPr>
                <w:sz w:val="20"/>
              </w:rPr>
              <w:t>Impianto con un miscelatore da 4</w:t>
            </w:r>
            <w:r w:rsidR="0034512F">
              <w:rPr>
                <w:sz w:val="20"/>
              </w:rPr>
              <w:t> </w:t>
            </w:r>
            <w:r>
              <w:rPr>
                <w:sz w:val="20"/>
              </w:rPr>
              <w:t>t e una capacità di miscelazione fino a 320</w:t>
            </w:r>
            <w:r w:rsidR="0034512F">
              <w:rPr>
                <w:sz w:val="20"/>
              </w:rPr>
              <w:t> </w:t>
            </w:r>
            <w:r>
              <w:rPr>
                <w:sz w:val="20"/>
              </w:rPr>
              <w:t>t/h e un silo di carico da 194</w:t>
            </w:r>
            <w:r w:rsidR="0034512F">
              <w:rPr>
                <w:sz w:val="20"/>
              </w:rPr>
              <w:t> </w:t>
            </w:r>
            <w:r>
              <w:rPr>
                <w:sz w:val="20"/>
              </w:rPr>
              <w:t>t.</w:t>
            </w: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F631EC" w:rsidRDefault="00F631EC" w:rsidP="001822F7">
            <w:pPr>
              <w:pStyle w:val="berschrift3"/>
              <w:outlineLvl w:val="2"/>
            </w:pPr>
          </w:p>
          <w:p w:rsidR="00F631EC" w:rsidRDefault="00F631EC" w:rsidP="001822F7">
            <w:pPr>
              <w:pStyle w:val="berschrift3"/>
              <w:outlineLvl w:val="2"/>
            </w:pPr>
          </w:p>
          <w:p w:rsidR="00F631EC" w:rsidRDefault="00F631EC" w:rsidP="001822F7">
            <w:pPr>
              <w:pStyle w:val="berschrift3"/>
              <w:outlineLvl w:val="2"/>
            </w:pPr>
          </w:p>
          <w:p w:rsidR="00F631EC" w:rsidRDefault="00F631EC" w:rsidP="00F631EC">
            <w:pPr>
              <w:jc w:val="both"/>
              <w:rPr>
                <w:sz w:val="20"/>
              </w:rPr>
            </w:pPr>
          </w:p>
          <w:p w:rsidR="007E77C8" w:rsidRDefault="007E77C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Pr="009B0EC1" w:rsidRDefault="000C7C24" w:rsidP="00493F01">
            <w:pPr>
              <w:jc w:val="both"/>
              <w:rPr>
                <w:sz w:val="20"/>
              </w:rPr>
            </w:pPr>
            <w:r>
              <w:rPr>
                <w:sz w:val="20"/>
              </w:rPr>
              <w:lastRenderedPageBreak/>
              <w:t>Tamburo di riciclo con generatore di gas caldo con funzionamento secondo il principio di controcorrente</w:t>
            </w:r>
          </w:p>
          <w:p w:rsidR="00FB47F8" w:rsidRPr="009B0EC1" w:rsidRDefault="00FB47F8" w:rsidP="00493F01">
            <w:pPr>
              <w:jc w:val="both"/>
              <w:rPr>
                <w:sz w:val="20"/>
              </w:rPr>
            </w:pPr>
          </w:p>
          <w:p w:rsidR="00FB47F8" w:rsidRPr="009B0EC1" w:rsidRDefault="00411224" w:rsidP="00493F01">
            <w:pPr>
              <w:jc w:val="both"/>
              <w:rPr>
                <w:sz w:val="20"/>
              </w:rPr>
            </w:pPr>
            <w:r>
              <w:rPr>
                <w:sz w:val="20"/>
              </w:rPr>
              <w:t>Modalità di funzionamento</w:t>
            </w:r>
          </w:p>
          <w:p w:rsidR="00411224" w:rsidRPr="009B0EC1" w:rsidRDefault="00411224" w:rsidP="00411224">
            <w:pPr>
              <w:pStyle w:val="Listenabsatz"/>
              <w:numPr>
                <w:ilvl w:val="0"/>
                <w:numId w:val="31"/>
              </w:numPr>
              <w:jc w:val="both"/>
              <w:rPr>
                <w:sz w:val="20"/>
              </w:rPr>
            </w:pPr>
            <w:r>
              <w:rPr>
                <w:sz w:val="20"/>
              </w:rPr>
              <w:t>Il bruciatore effettua la combustione nel generatore di gas caldo e scalda in modo intensivo l'aria di ricircolo, sempre secondo il principio di controcorrente</w:t>
            </w:r>
          </w:p>
          <w:p w:rsidR="00411224" w:rsidRPr="009B0EC1" w:rsidRDefault="00411224" w:rsidP="00411224">
            <w:pPr>
              <w:pStyle w:val="Listenabsatz"/>
              <w:jc w:val="both"/>
              <w:rPr>
                <w:sz w:val="20"/>
              </w:rPr>
            </w:pPr>
          </w:p>
          <w:p w:rsidR="00411224" w:rsidRPr="009B0EC1" w:rsidRDefault="00411224" w:rsidP="00411224">
            <w:pPr>
              <w:pStyle w:val="Listenabsatz"/>
              <w:numPr>
                <w:ilvl w:val="0"/>
                <w:numId w:val="31"/>
              </w:numPr>
              <w:jc w:val="both"/>
              <w:rPr>
                <w:sz w:val="20"/>
              </w:rPr>
            </w:pPr>
            <w:r>
              <w:rPr>
                <w:sz w:val="20"/>
              </w:rPr>
              <w:t>Riscaldamento indiretto del materiale riciclabile con aria calda all'interno del tamburo di riciclo – nessun contatto con le fiamme</w:t>
            </w:r>
          </w:p>
          <w:p w:rsidR="00411224" w:rsidRPr="009B0EC1" w:rsidRDefault="00411224" w:rsidP="00411224">
            <w:pPr>
              <w:jc w:val="both"/>
              <w:rPr>
                <w:sz w:val="20"/>
              </w:rPr>
            </w:pPr>
          </w:p>
          <w:p w:rsidR="00411224" w:rsidRDefault="00411224" w:rsidP="00411224">
            <w:pPr>
              <w:pStyle w:val="Listenabsatz"/>
              <w:numPr>
                <w:ilvl w:val="0"/>
                <w:numId w:val="31"/>
              </w:numPr>
              <w:jc w:val="both"/>
              <w:rPr>
                <w:sz w:val="20"/>
              </w:rPr>
            </w:pPr>
            <w:r>
              <w:rPr>
                <w:sz w:val="20"/>
              </w:rPr>
              <w:t>Nel tamburo di riciclo, il materiale di riciclo viene riscaldato a poco a poco in controcorrente, mentre i gas si raffreddano in direzione opposta</w:t>
            </w:r>
          </w:p>
          <w:p w:rsidR="00411224" w:rsidRPr="00411224" w:rsidRDefault="00411224" w:rsidP="00411224">
            <w:pPr>
              <w:pStyle w:val="Listenabsatz"/>
              <w:rPr>
                <w:sz w:val="20"/>
              </w:rPr>
            </w:pPr>
          </w:p>
          <w:p w:rsidR="00411224" w:rsidRPr="0034512F" w:rsidRDefault="00411224" w:rsidP="00411224">
            <w:pPr>
              <w:pStyle w:val="Listenabsatz"/>
              <w:numPr>
                <w:ilvl w:val="0"/>
                <w:numId w:val="31"/>
              </w:numPr>
              <w:jc w:val="both"/>
              <w:rPr>
                <w:spacing w:val="-6"/>
                <w:sz w:val="20"/>
              </w:rPr>
            </w:pPr>
            <w:r w:rsidRPr="0034512F">
              <w:rPr>
                <w:spacing w:val="-6"/>
                <w:sz w:val="20"/>
              </w:rPr>
              <w:t>Il materiale riscaldato alla temperatura finale finisce direttamente nei silos di stoccaggio oppure viene convogliato nel miscelatore</w:t>
            </w:r>
          </w:p>
          <w:p w:rsidR="00FB47F8" w:rsidRDefault="00FB47F8" w:rsidP="00493F01">
            <w:pPr>
              <w:jc w:val="both"/>
              <w:rPr>
                <w:sz w:val="20"/>
              </w:rPr>
            </w:pPr>
          </w:p>
          <w:p w:rsidR="00714407" w:rsidRPr="00714407" w:rsidRDefault="00714407" w:rsidP="00714407">
            <w:pPr>
              <w:jc w:val="both"/>
              <w:rPr>
                <w:b/>
                <w:sz w:val="20"/>
              </w:rPr>
            </w:pPr>
            <w:r>
              <w:rPr>
                <w:b/>
                <w:sz w:val="20"/>
              </w:rPr>
              <w:t>Generatore di gas caldo – Isolamento del bruciatore</w:t>
            </w:r>
          </w:p>
          <w:p w:rsidR="00FB47F8" w:rsidRPr="00493F01" w:rsidRDefault="00714407" w:rsidP="00E770E8">
            <w:pPr>
              <w:jc w:val="both"/>
              <w:rPr>
                <w:sz w:val="20"/>
              </w:rPr>
            </w:pPr>
            <w:r>
              <w:rPr>
                <w:sz w:val="20"/>
              </w:rPr>
              <w:t>Il bruciatore si muove automaticamente sul suo telaio avanti e indietro a seconda dello stato di funzionamento. A tale scopo viene poi estratto e retratto un sistema di isolamento. Questo processo è stato progettato appositamente in modo che, dopo lo spegnimento del focolare, il bruciatore non subisca alcun danno. A</w:t>
            </w:r>
            <w:r w:rsidR="0034512F">
              <w:rPr>
                <w:sz w:val="20"/>
              </w:rPr>
              <w:t> </w:t>
            </w:r>
            <w:r>
              <w:rPr>
                <w:sz w:val="20"/>
              </w:rPr>
              <w:t>causa dell'effetto camino e dell'aria calda ad esso correlata che sale dal tamburo di riciclo, il bruciatore non sarebbe protetto. Quando il bruciatore viene riavviato, il sistema di isolamento viene retratto e l'intera unità è in posizione operativa.</w:t>
            </w:r>
          </w:p>
        </w:tc>
      </w:tr>
    </w:tbl>
    <w:p w:rsidR="00D166AC" w:rsidRDefault="00D166AC" w:rsidP="00D166AC">
      <w:pPr>
        <w:pStyle w:val="Text"/>
      </w:pPr>
    </w:p>
    <w:p w:rsidR="00FB47F8" w:rsidRDefault="00FB47F8" w:rsidP="00D166AC">
      <w:pPr>
        <w:pStyle w:val="Text"/>
      </w:pPr>
    </w:p>
    <w:p w:rsidR="00FB47F8" w:rsidRDefault="00FB47F8" w:rsidP="00D166AC">
      <w:pPr>
        <w:pStyle w:val="Text"/>
      </w:pPr>
    </w:p>
    <w:p w:rsidR="00493F01" w:rsidRDefault="00493F01" w:rsidP="00D166AC">
      <w:pPr>
        <w:pStyle w:val="Text"/>
      </w:pPr>
    </w:p>
    <w:p w:rsidR="00F631EC" w:rsidRDefault="00F631EC" w:rsidP="00D166AC">
      <w:pPr>
        <w:pStyle w:val="Text"/>
      </w:pPr>
    </w:p>
    <w:p w:rsidR="00FB47F8" w:rsidRDefault="00FB47F8" w:rsidP="00D166AC">
      <w:pPr>
        <w:pStyle w:val="Text"/>
      </w:pPr>
    </w:p>
    <w:p w:rsidR="00FB47F8" w:rsidRDefault="00FB47F8" w:rsidP="00D166AC">
      <w:pPr>
        <w:pStyle w:val="Text"/>
      </w:pPr>
    </w:p>
    <w:p w:rsidR="00FB47F8" w:rsidRDefault="00FB47F8" w:rsidP="00D166AC">
      <w:pPr>
        <w:pStyle w:val="Text"/>
      </w:pPr>
    </w:p>
    <w:p w:rsidR="00FB47F8" w:rsidRDefault="00FB47F8" w:rsidP="00D166AC">
      <w:pPr>
        <w:pStyle w:val="Text"/>
      </w:pPr>
    </w:p>
    <w:p w:rsidR="00F631EC" w:rsidRDefault="00F631EC" w:rsidP="00D166AC">
      <w:pPr>
        <w:pStyle w:val="Text"/>
      </w:pPr>
    </w:p>
    <w:p w:rsidR="00F631EC" w:rsidRDefault="00F631EC" w:rsidP="00D166AC">
      <w:pPr>
        <w:pStyle w:val="Text"/>
      </w:pPr>
    </w:p>
    <w:tbl>
      <w:tblPr>
        <w:tblStyle w:val="Basic"/>
        <w:tblW w:w="0" w:type="auto"/>
        <w:tblLook w:val="04A0" w:firstRow="1" w:lastRow="0" w:firstColumn="1" w:lastColumn="0" w:noHBand="0" w:noVBand="1"/>
      </w:tblPr>
      <w:tblGrid>
        <w:gridCol w:w="4790"/>
        <w:gridCol w:w="4734"/>
      </w:tblGrid>
      <w:tr w:rsidR="00D166AC" w:rsidRPr="006D25C0" w:rsidTr="001C39B0">
        <w:trPr>
          <w:cnfStyle w:val="100000000000" w:firstRow="1" w:lastRow="0" w:firstColumn="0" w:lastColumn="0" w:oddVBand="0" w:evenVBand="0" w:oddHBand="0" w:evenHBand="0" w:firstRowFirstColumn="0" w:firstRowLastColumn="0" w:lastRowFirstColumn="0" w:lastRowLastColumn="0"/>
        </w:trPr>
        <w:tc>
          <w:tcPr>
            <w:tcW w:w="4790" w:type="dxa"/>
            <w:tcBorders>
              <w:right w:val="single" w:sz="48" w:space="0" w:color="FFFFFF" w:themeColor="background1"/>
            </w:tcBorders>
          </w:tcPr>
          <w:p w:rsidR="006D25C0" w:rsidRPr="00493F01" w:rsidRDefault="00493F01" w:rsidP="0034512F">
            <w:pPr>
              <w:pStyle w:val="HeadlineKontakte"/>
              <w:rPr>
                <w:szCs w:val="22"/>
              </w:rPr>
            </w:pPr>
            <w:r>
              <w:rPr>
                <w:caps w:val="0"/>
                <w:szCs w:val="22"/>
              </w:rPr>
              <w:lastRenderedPageBreak/>
              <w:t>Maggiori informazioni</w:t>
            </w:r>
            <w:r>
              <w:t xml:space="preserve"> </w:t>
            </w:r>
            <w:r w:rsidR="0034512F">
              <w:br/>
            </w:r>
            <w:r>
              <w:rPr>
                <w:caps w:val="0"/>
                <w:szCs w:val="22"/>
              </w:rPr>
              <w:t>sono disponibili presso</w:t>
            </w:r>
            <w:r>
              <w:t>:</w:t>
            </w:r>
          </w:p>
          <w:p w:rsidR="006D25C0" w:rsidRPr="00493F01" w:rsidRDefault="006D25C0" w:rsidP="006D25C0">
            <w:pPr>
              <w:pStyle w:val="Text"/>
            </w:pPr>
            <w:r>
              <w:t>BENNINGHOVEN GmbH &amp; Co. KG</w:t>
            </w:r>
          </w:p>
          <w:p w:rsidR="006D25C0" w:rsidRPr="00493F01" w:rsidRDefault="006D25C0" w:rsidP="006D25C0">
            <w:pPr>
              <w:pStyle w:val="Text"/>
            </w:pPr>
            <w:r>
              <w:t xml:space="preserve">Lars </w:t>
            </w:r>
            <w:proofErr w:type="spellStart"/>
            <w:r>
              <w:t>Henrich</w:t>
            </w:r>
            <w:proofErr w:type="spellEnd"/>
          </w:p>
          <w:p w:rsidR="006D25C0" w:rsidRPr="006D25C0" w:rsidRDefault="00B239CB" w:rsidP="006D25C0">
            <w:pPr>
              <w:pStyle w:val="Text"/>
            </w:pPr>
            <w:proofErr w:type="spellStart"/>
            <w:r>
              <w:t>Benninghovenstraße</w:t>
            </w:r>
            <w:proofErr w:type="spellEnd"/>
            <w:r>
              <w:t xml:space="preserve"> 1</w:t>
            </w:r>
          </w:p>
          <w:p w:rsidR="006D25C0" w:rsidRPr="006D25C0" w:rsidRDefault="006D25C0" w:rsidP="006D25C0">
            <w:pPr>
              <w:pStyle w:val="Text"/>
            </w:pPr>
            <w:r>
              <w:t xml:space="preserve">54516 </w:t>
            </w:r>
            <w:proofErr w:type="spellStart"/>
            <w:r>
              <w:t>Wittlich</w:t>
            </w:r>
            <w:proofErr w:type="spellEnd"/>
          </w:p>
          <w:p w:rsidR="006D25C0" w:rsidRPr="006D25C0" w:rsidRDefault="006D25C0" w:rsidP="006D25C0">
            <w:pPr>
              <w:pStyle w:val="Text"/>
            </w:pPr>
            <w:r>
              <w:t>Germania</w:t>
            </w:r>
          </w:p>
          <w:p w:rsidR="006D25C0" w:rsidRPr="006D25C0" w:rsidRDefault="006D25C0" w:rsidP="006D25C0">
            <w:pPr>
              <w:pStyle w:val="Text"/>
            </w:pPr>
          </w:p>
          <w:p w:rsidR="006D25C0" w:rsidRPr="006D25C0" w:rsidRDefault="006D25C0" w:rsidP="0034512F">
            <w:pPr>
              <w:pStyle w:val="Text"/>
              <w:tabs>
                <w:tab w:val="left" w:pos="1134"/>
              </w:tabs>
            </w:pPr>
            <w:r>
              <w:t>Telefono:</w:t>
            </w:r>
            <w:r w:rsidR="0034512F">
              <w:tab/>
            </w:r>
            <w:r>
              <w:t>+49 6571 6978-5117</w:t>
            </w:r>
          </w:p>
          <w:p w:rsidR="006D25C0" w:rsidRPr="006D25C0" w:rsidRDefault="006D25C0" w:rsidP="0034512F">
            <w:pPr>
              <w:pStyle w:val="Text"/>
              <w:tabs>
                <w:tab w:val="left" w:pos="1134"/>
              </w:tabs>
            </w:pPr>
            <w:r>
              <w:t>Fax:</w:t>
            </w:r>
            <w:r w:rsidR="0034512F">
              <w:tab/>
            </w:r>
            <w:r>
              <w:t>+49 6571 6978-8020</w:t>
            </w:r>
          </w:p>
          <w:p w:rsidR="006D25C0" w:rsidRPr="006D25C0" w:rsidRDefault="006D25C0" w:rsidP="006D25C0">
            <w:pPr>
              <w:pStyle w:val="Text"/>
            </w:pPr>
            <w:r>
              <w:t>e-mail: info@benninghoven.com</w:t>
            </w:r>
          </w:p>
          <w:p w:rsidR="00D166AC" w:rsidRPr="006D25C0" w:rsidRDefault="006D25C0" w:rsidP="006D25C0">
            <w:pPr>
              <w:pStyle w:val="Text"/>
            </w:pPr>
            <w:r>
              <w:t>www.benninghoven.com</w:t>
            </w:r>
          </w:p>
        </w:tc>
        <w:tc>
          <w:tcPr>
            <w:tcW w:w="4734" w:type="dxa"/>
            <w:tcBorders>
              <w:left w:val="single" w:sz="48" w:space="0" w:color="FFFFFF" w:themeColor="background1"/>
            </w:tcBorders>
          </w:tcPr>
          <w:p w:rsidR="0034191A" w:rsidRPr="006D25C0" w:rsidRDefault="0034191A" w:rsidP="006D25C0">
            <w:pPr>
              <w:pStyle w:val="Text"/>
            </w:pPr>
          </w:p>
        </w:tc>
      </w:tr>
    </w:tbl>
    <w:p w:rsidR="00D166AC" w:rsidRPr="00D166AC" w:rsidRDefault="00D166AC" w:rsidP="00D166AC">
      <w:pPr>
        <w:pStyle w:val="Text"/>
      </w:pPr>
    </w:p>
    <w:sectPr w:rsidR="00D166AC" w:rsidRPr="00D166AC" w:rsidSect="003A753A">
      <w:headerReference w:type="default" r:id="rId13"/>
      <w:footerReference w:type="default" r:id="rId14"/>
      <w:headerReference w:type="first" r:id="rId15"/>
      <w:footerReference w:type="first" r:id="rId16"/>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51F45" w:rsidRDefault="00551F45" w:rsidP="00E55534">
      <w:r>
        <w:separator/>
      </w:r>
    </w:p>
  </w:endnote>
  <w:endnote w:type="continuationSeparator" w:id="0">
    <w:p w:rsidR="00551F45" w:rsidRDefault="00551F45"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Basic"/>
      <w:tblpPr w:leftFromText="142" w:rightFromText="142" w:vertAnchor="page" w:horzAnchor="page" w:tblpX="1192" w:tblpY="16217"/>
      <w:tblW w:w="0" w:type="auto"/>
      <w:tblLayout w:type="fixed"/>
      <w:tblLook w:val="04A0" w:firstRow="1" w:lastRow="0" w:firstColumn="1" w:lastColumn="0" w:noHBand="0" w:noVBand="1"/>
    </w:tblPr>
    <w:tblGrid>
      <w:gridCol w:w="8364"/>
      <w:gridCol w:w="1160"/>
    </w:tblGrid>
    <w:sdt>
      <w:sdtPr>
        <w:rPr>
          <w:szCs w:val="16"/>
        </w:rPr>
        <w:id w:val="-214889975"/>
        <w:lock w:val="sdtContentLocked"/>
      </w:sdtPr>
      <w:sdtEndPr/>
      <w:sdtContent>
        <w:tr w:rsidR="00A171F4" w:rsidRPr="008C2DB2" w:rsidTr="0012026F">
          <w:trPr>
            <w:cnfStyle w:val="100000000000" w:firstRow="1" w:lastRow="0" w:firstColumn="0" w:lastColumn="0" w:oddVBand="0" w:evenVBand="0" w:oddHBand="0" w:evenHBand="0" w:firstRowFirstColumn="0" w:firstRowLastColumn="0" w:lastRowFirstColumn="0" w:lastRowLastColumn="0"/>
            <w:trHeight w:hRule="exact" w:val="227"/>
          </w:trPr>
          <w:sdt>
            <w:sdtPr>
              <w:rPr>
                <w:szCs w:val="16"/>
              </w:rPr>
              <w:id w:val="1167366250"/>
              <w:showingPlcHdr/>
            </w:sdtPr>
            <w:sdtEndPr>
              <w:rPr>
                <w:szCs w:val="20"/>
              </w:rPr>
            </w:sdtEndPr>
            <w:sdtContent>
              <w:tc>
                <w:tcPr>
                  <w:tcW w:w="8364" w:type="dxa"/>
                </w:tcPr>
                <w:p w:rsidR="00A171F4" w:rsidRPr="008C2DB2" w:rsidRDefault="00A171F4" w:rsidP="005711A3">
                  <w:pPr>
                    <w:pStyle w:val="Kolumnentitel"/>
                  </w:pPr>
                  <w:r>
                    <w:rPr>
                      <w:rStyle w:val="Platzhaltertext"/>
                    </w:rPr>
                    <w:t xml:space="preserve">     </w:t>
                  </w:r>
                </w:p>
              </w:tc>
            </w:sdtContent>
          </w:sdt>
          <w:tc>
            <w:tcPr>
              <w:tcW w:w="1160" w:type="dxa"/>
            </w:tcPr>
            <w:sdt>
              <w:sdtPr>
                <w:id w:val="-1133938393"/>
              </w:sdtPr>
              <w:sdtEndPr/>
              <w:sdtContent>
                <w:p w:rsidR="00A171F4" w:rsidRPr="008C2DB2" w:rsidRDefault="00A171F4" w:rsidP="0012026F">
                  <w:pPr>
                    <w:pStyle w:val="Seitenzahlen"/>
                  </w:pPr>
                  <w:r w:rsidRPr="008C2DB2">
                    <w:fldChar w:fldCharType="begin"/>
                  </w:r>
                  <w:r>
                    <w:instrText xml:space="preserve"> </w:instrText>
                  </w:r>
                  <w:r w:rsidRPr="008C2DB2">
                    <w:instrText>PAGE \# "00"</w:instrText>
                  </w:r>
                  <w:r w:rsidRPr="008C2DB2">
                    <w:fldChar w:fldCharType="separate"/>
                  </w:r>
                  <w:r w:rsidR="000C7C24">
                    <w:rPr>
                      <w:noProof/>
                    </w:rPr>
                    <w:t>01</w:t>
                  </w:r>
                  <w:r w:rsidRPr="008C2DB2">
                    <w:fldChar w:fldCharType="end"/>
                  </w:r>
                </w:p>
              </w:sdtContent>
            </w:sdt>
          </w:tc>
        </w:tr>
      </w:sdtContent>
    </w:sdt>
  </w:tbl>
  <w:sdt>
    <w:sdtPr>
      <w:id w:val="-958642266"/>
      <w:lock w:val="sdtContentLocked"/>
    </w:sdtPr>
    <w:sdtEndPr/>
    <w:sdtContent>
      <w:p w:rsidR="00A171F4" w:rsidRDefault="00A171F4">
        <w:pPr>
          <w:pStyle w:val="Fuzeile"/>
        </w:pPr>
        <w:r>
          <w:rPr>
            <w:noProof/>
            <w:lang w:eastAsia="de-DE"/>
          </w:rPr>
          <mc:AlternateContent>
            <mc:Choice Requires="wps">
              <w:drawing>
                <wp:anchor distT="0" distB="0" distL="114300" distR="114300" simplePos="0" relativeHeight="251670528" behindDoc="0" locked="0" layoutInCell="1" allowOverlap="1" wp14:anchorId="3E35EFF8" wp14:editId="3643C7F3">
                  <wp:simplePos x="0" y="0"/>
                  <wp:positionH relativeFrom="page">
                    <wp:posOffset>756285</wp:posOffset>
                  </wp:positionH>
                  <wp:positionV relativeFrom="page">
                    <wp:posOffset>10189210</wp:posOffset>
                  </wp:positionV>
                  <wp:extent cx="6048000" cy="18000"/>
                  <wp:effectExtent l="0" t="0" r="0" b="1270"/>
                  <wp:wrapNone/>
                  <wp:docPr id="12" name="Rechteck 12"/>
                  <wp:cNvGraphicFramePr/>
                  <a:graphic xmlns:a="http://schemas.openxmlformats.org/drawingml/2006/main">
                    <a:graphicData uri="http://schemas.microsoft.com/office/word/2010/wordprocessingShape">
                      <wps:wsp>
                        <wps:cNvSpPr/>
                        <wps:spPr>
                          <a:xfrm>
                            <a:off x="0" y="0"/>
                            <a:ext cx="6048000" cy="18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7B2F6B" id="Rechteck 12" o:spid="_x0000_s1026" style="position:absolute;margin-left:59.55pt;margin-top:802.3pt;width:476.2pt;height:1.4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markQIAAIQFAAAOAAAAZHJzL2Uyb0RvYy54bWysVFFP3DAMfp+0/xDlfbR3Oth2oodOIKZJ&#10;CBAw8RzShEZL4izJXe/26+ckbY8xtIdpL20c25/tL7ZPz3ZGk63wQYFt6OyopkRYDq2yzw399nD5&#10;4RMlITLbMg1WNHQvAj1bvX932rulmEMHuhWeIIgNy941tIvRLasq8E4YFo7ACYtKCd6wiKJ/rlrP&#10;ekQ3uprX9UnVg2+dBy5CwNuLoqSrjC+l4PFGyiAi0Q3F3GL++vx9St9qdcqWz565TvEhDfYPWRim&#10;LAadoC5YZGTj1R9QRnEPAWQ84mAqkFJxkWvAamb1q2ruO+ZErgXJCW6iKfw/WH69vfVEtfh2c0os&#10;M/hGd4J3UfDvBK+Qn96FJZrdu1s/SAGPqdid9Cb9sQyyy5zuJ07FLhKOlyf14lNdI/UcdbN8RJTq&#10;4Ox8iF8EGJIODfX4ZJlJtr0KsZiOJilWAK3aS6V1FlKbiHPtyZbhA8ddThjBf7PSNtlaSF4FMN1U&#10;qa5SST7FvRbJTts7IZERzH2eE8m9eAjCOBc2zoqqY60osY+xyNxOKfqYVi40AyZkifEn7AFgtCwg&#10;I3bJcrBPriK38uRc/y2x4jx55Mhg4+RslAX/FoDGqobIxX4kqVCTWHqCdo/94qEMUnD8UuGzXbEQ&#10;b5nHycGHxm0Qb/AjNfQNheFESQf+51v3yR4bGrWU9DiJDQ0/NswLSvRXi63+ebZYpNHNwuL44xwF&#10;/1Lz9FJjN+YcsBdmuHccz8dkH/V4lB7MIy6NdYqKKmY5xm4oj34UzmPZELh2uFivsxmOq2Pxyt47&#10;nsATq6ktH3aPzLuhdyM2/TWMU8uWr1q42CZPC+tNBKlyfx94HfjGUc+NM6yltEteytnqsDxXvwAA&#10;AP//AwBQSwMEFAAGAAgAAAAhAGqkqdrhAAAADgEAAA8AAABkcnMvZG93bnJldi54bWxMj81OwzAQ&#10;hO9IvIO1SNyoHVTSNMSpokocKk4tCImbGy9JhH9C7Dbm7dlygdvO7mj2m2qTrGFnnMLgnYRsIYCh&#10;a70eXCfh9eXprgAWonJaGe9QwjcG2NTXV5UqtZ/dHs+H2DEKcaFUEvoYx5Lz0PZoVVj4ER3dPvxk&#10;VSQ5dVxPaqZwa/i9EDm3anD0oVcjbntsPw8nK2G7m98aU+zeu8Kum+fE91PzlaS8vUnNI7CIKf6Z&#10;4YJP6FAT09GfnA7MkM7WGVlpyMUyB3axiFX2AOz4u1stgdcV/1+j/gEAAP//AwBQSwECLQAUAAYA&#10;CAAAACEAtoM4kv4AAADhAQAAEwAAAAAAAAAAAAAAAAAAAAAAW0NvbnRlbnRfVHlwZXNdLnhtbFBL&#10;AQItABQABgAIAAAAIQA4/SH/1gAAAJQBAAALAAAAAAAAAAAAAAAAAC8BAABfcmVscy8ucmVsc1BL&#10;AQItABQABgAIAAAAIQA5hmarkQIAAIQFAAAOAAAAAAAAAAAAAAAAAC4CAABkcnMvZTJvRG9jLnht&#10;bFBLAQItABQABgAIAAAAIQBqpKna4QAAAA4BAAAPAAAAAAAAAAAAAAAAAOsEAABkcnMvZG93bnJl&#10;di54bWxQSwUGAAAAAAQABADzAAAA+QUAAAAA&#10;" fillcolor="#0062a7 [3215]" stroked="f" strokeweight="2pt">
                  <w10:wrap anchorx="page" anchory="page"/>
                </v:rect>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Basic"/>
      <w:tblpPr w:leftFromText="142" w:rightFromText="142" w:vertAnchor="page" w:horzAnchor="page" w:tblpX="1192" w:tblpY="15934"/>
      <w:tblOverlap w:val="never"/>
      <w:tblW w:w="0" w:type="auto"/>
      <w:tblLook w:val="04A0" w:firstRow="1" w:lastRow="0" w:firstColumn="1" w:lastColumn="0" w:noHBand="0" w:noVBand="1"/>
    </w:tblPr>
    <w:tblGrid>
      <w:gridCol w:w="9524"/>
    </w:tblGrid>
    <w:sdt>
      <w:sdtPr>
        <w:rPr>
          <w:rStyle w:val="Hervorhebung"/>
          <w:szCs w:val="16"/>
        </w:rPr>
        <w:id w:val="-2088915428"/>
        <w:lock w:val="sdtContentLocked"/>
      </w:sdtPr>
      <w:sdtEndPr>
        <w:rPr>
          <w:rStyle w:val="Absatz-Standardschriftart"/>
          <w:b w:val="0"/>
          <w:iCs w:val="0"/>
        </w:rPr>
      </w:sdtEndPr>
      <w:sdtContent>
        <w:tr w:rsidR="00A171F4" w:rsidTr="0012026F">
          <w:trPr>
            <w:cnfStyle w:val="100000000000" w:firstRow="1" w:lastRow="0" w:firstColumn="0" w:lastColumn="0" w:oddVBand="0" w:evenVBand="0" w:oddHBand="0" w:evenHBand="0" w:firstRowFirstColumn="0" w:firstRowLastColumn="0" w:lastRowFirstColumn="0" w:lastRowLastColumn="0"/>
          </w:trPr>
          <w:tc>
            <w:tcPr>
              <w:tcW w:w="9664" w:type="dxa"/>
            </w:tcPr>
            <w:p w:rsidR="00A171F4" w:rsidRDefault="00A171F4" w:rsidP="0012026F">
              <w:pPr>
                <w:pStyle w:val="Fuzeile"/>
                <w:spacing w:before="96" w:after="96"/>
              </w:pPr>
              <w:r w:rsidRPr="003E1CB6">
                <w:rPr>
                  <w:rStyle w:val="Hervorhebung"/>
                </w:rPr>
                <w:t>WIRTGEN GmbH</w:t>
              </w:r>
              <w:r w:rsidRPr="00CF36C9">
                <w:t xml:space="preserve"> · Reinhard-Wirtgen-Str. 2 · D-53578 Windhagen · T: +49 26 45 / 131 0</w:t>
              </w:r>
            </w:p>
          </w:tc>
        </w:tr>
      </w:sdtContent>
    </w:sdt>
  </w:tbl>
  <w:sdt>
    <w:sdtPr>
      <w:id w:val="-1944752626"/>
      <w:lock w:val="sdtContentLocked"/>
    </w:sdtPr>
    <w:sdtEndPr/>
    <w:sdtContent>
      <w:p w:rsidR="00A171F4" w:rsidRDefault="00A171F4">
        <w:pPr>
          <w:pStyle w:val="Fuzeile"/>
        </w:pPr>
        <w:r>
          <w:rPr>
            <w:noProof/>
            <w:lang w:eastAsia="de-DE"/>
          </w:rPr>
          <mc:AlternateContent>
            <mc:Choice Requires="wps">
              <w:drawing>
                <wp:anchor distT="0" distB="0" distL="114300" distR="114300" simplePos="0" relativeHeight="251662336" behindDoc="0" locked="0" layoutInCell="1" allowOverlap="1" wp14:anchorId="57157764" wp14:editId="6D92112A">
                  <wp:simplePos x="0" y="0"/>
                  <wp:positionH relativeFrom="page">
                    <wp:posOffset>756285</wp:posOffset>
                  </wp:positionH>
                  <wp:positionV relativeFrom="page">
                    <wp:posOffset>10081260</wp:posOffset>
                  </wp:positionV>
                  <wp:extent cx="6048000" cy="18000"/>
                  <wp:effectExtent l="0" t="0" r="0" b="1270"/>
                  <wp:wrapNone/>
                  <wp:docPr id="6" name="Rechteck 6"/>
                  <wp:cNvGraphicFramePr/>
                  <a:graphic xmlns:a="http://schemas.openxmlformats.org/drawingml/2006/main">
                    <a:graphicData uri="http://schemas.microsoft.com/office/word/2010/wordprocessingShape">
                      <wps:wsp>
                        <wps:cNvSpPr/>
                        <wps:spPr>
                          <a:xfrm>
                            <a:off x="0" y="0"/>
                            <a:ext cx="6048000" cy="18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CE8C73" id="Rechteck 6" o:spid="_x0000_s1026" style="position:absolute;margin-left:59.55pt;margin-top:793.8pt;width:476.2pt;height:1.4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vx4kQIAAIIFAAAOAAAAZHJzL2Uyb0RvYy54bWysVMFu2zAMvQ/YPwi6r3aCNGuDOEWQosOA&#10;oi3aDj2rslQLk0VNUuJkXz9Ksp2uK3YYdrFFkXwkn0guL/atJjvhvAJT0clJSYkwHGplXir67fHq&#10;0xklPjBTMw1GVPQgPL1Yffyw7OxCTKEBXQtHEMT4RWcr2oRgF0XheSNa5k/ACoNKCa5lAUX3UtSO&#10;dYje6mJalvOiA1dbB1x4j7eXWUlXCV9KwcOtlF4EoiuKuYX0den7HL/FaskWL47ZRvE+DfYPWbRM&#10;GQw6Ql2ywMjWqT+gWsUdeJDhhENbgJSKi1QDVjMp31Tz0DArUi1IjrcjTf7/wfKb3Z0jqq7onBLD&#10;Wnyie8GbIPh3Mo/sdNYv0OjB3rle8niMpe6la+MfiyD7xOhhZFTsA+F4OS9nZ2WJxHPUTdIRUYqj&#10;s3U+fBHQknioqMMHSzyy3bUP2XQwibE8aFVfKa2TEJtEbLQjO4bPG/bTmDCC/2alTbQ1EL2yOt4U&#10;sa5cSTqFgxbRTpt7IZEPzH2aEkmdeAzCOBcmTLKqYbXIsU+xyNRMMfqQVsolAUZkifFH7B5gsMwg&#10;A3bOsrePriI18uhc/i2x7Dx6pMhgwujcKgPuPQCNVfWRs/1AUqYmsvQM9QG7xUEeI2/5lcJnu2Y+&#10;3DGHc4MPjbsg3OJHaugqCv2Jkgbcz/fuoz22M2op6XAOK+p/bJkTlOivBhv9fDKbxcFNwuz08xQF&#10;91rz/Fpjtu0GsBcmuHUsT8doH/RwlA7aJ1wZ6xgVVcxwjF1RHtwgbELeD7h0uFivkxkOq2Xh2jxY&#10;HsEjq7EtH/dPzNm+dwM2/Q0MM8sWb1o420ZPA+ttAKlSfx957fnGQU+N0y+luEley8nquDpXvwAA&#10;AP//AwBQSwMEFAAGAAgAAAAhAKaCQofiAAAADgEAAA8AAABkcnMvZG93bnJldi54bWxMj81OwzAQ&#10;hO9IvIO1SNyoHUTbJI1TRZU4VJzaIiRubmySqP4JttuYt2dzgtvO7mj2m2qbjCY35cPgLIdswYAo&#10;2zo52I7D++n1KQcSorBSaGcVhx8VYFvf31WilG6yB3U7xo5giA2l4NDHOJaUhrZXRoSFG5XF25fz&#10;RkSUvqPSiwnDjabPjK2oEYPFD70Y1a5X7eV4NRx2++mj0fn+s8tN0bwlevDNd+L88SE1GyBRpfhn&#10;hhkf0aFGprO7WhmIRp0VGVpxWObrFZDZwtbZEsh53hXsBWhd0f816l8AAAD//wMAUEsBAi0AFAAG&#10;AAgAAAAhALaDOJL+AAAA4QEAABMAAAAAAAAAAAAAAAAAAAAAAFtDb250ZW50X1R5cGVzXS54bWxQ&#10;SwECLQAUAAYACAAAACEAOP0h/9YAAACUAQAACwAAAAAAAAAAAAAAAAAvAQAAX3JlbHMvLnJlbHNQ&#10;SwECLQAUAAYACAAAACEAoCL8eJECAACCBQAADgAAAAAAAAAAAAAAAAAuAgAAZHJzL2Uyb0RvYy54&#10;bWxQSwECLQAUAAYACAAAACEApoJCh+IAAAAOAQAADwAAAAAAAAAAAAAAAADrBAAAZHJzL2Rvd25y&#10;ZXYueG1sUEsFBgAAAAAEAAQA8wAAAPoFAAAAAA==&#10;" fillcolor="#0062a7 [3215]" stroked="f" strokeweight="2pt">
                  <w10:wrap anchorx="page" anchory="page"/>
                </v:rect>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51F45" w:rsidRDefault="00551F45" w:rsidP="00E55534">
      <w:r>
        <w:separator/>
      </w:r>
    </w:p>
  </w:footnote>
  <w:footnote w:type="continuationSeparator" w:id="0">
    <w:p w:rsidR="00551F45" w:rsidRDefault="00551F45"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4"/>
      </w:rPr>
      <w:id w:val="1105004567"/>
      <w:lock w:val="sdtContentLocked"/>
    </w:sdtPr>
    <w:sdtEndPr/>
    <w:sdtContent>
      <w:p w:rsidR="00A171F4" w:rsidRPr="002E765F" w:rsidRDefault="006D25C0">
        <w:pPr>
          <w:pStyle w:val="Kopfzeile"/>
          <w:rPr>
            <w:noProof/>
            <w:sz w:val="14"/>
            <w:lang w:eastAsia="de-DE"/>
          </w:rPr>
        </w:pPr>
        <w:r>
          <w:rPr>
            <w:noProof/>
            <w:lang w:eastAsia="de-DE"/>
          </w:rPr>
          <w:drawing>
            <wp:anchor distT="0" distB="0" distL="114300" distR="114300" simplePos="0" relativeHeight="251672576" behindDoc="0" locked="0" layoutInCell="1" allowOverlap="1" wp14:anchorId="1AD37280" wp14:editId="3CDC4CA7">
              <wp:simplePos x="0" y="0"/>
              <wp:positionH relativeFrom="page">
                <wp:posOffset>756285</wp:posOffset>
              </wp:positionH>
              <wp:positionV relativeFrom="page">
                <wp:posOffset>288290</wp:posOffset>
              </wp:positionV>
              <wp:extent cx="2574000" cy="288000"/>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gten Group.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2574000" cy="288000"/>
                      </a:xfrm>
                      <a:prstGeom prst="rect">
                        <a:avLst/>
                      </a:prstGeom>
                    </pic:spPr>
                  </pic:pic>
                </a:graphicData>
              </a:graphic>
              <wp14:sizeRelH relativeFrom="margin">
                <wp14:pctWidth>0</wp14:pctWidth>
              </wp14:sizeRelH>
              <wp14:sizeRelV relativeFrom="margin">
                <wp14:pctHeight>0</wp14:pctHeight>
              </wp14:sizeRelV>
            </wp:anchor>
          </w:drawing>
        </w:r>
      </w:p>
      <w:tbl>
        <w:tblPr>
          <w:tblStyle w:val="Basic"/>
          <w:tblpPr w:vertAnchor="page" w:horzAnchor="page" w:tblpX="7287" w:tblpY="1379"/>
          <w:tblW w:w="0" w:type="auto"/>
          <w:tblLayout w:type="fixed"/>
          <w:tblLook w:val="04A0" w:firstRow="1" w:lastRow="0" w:firstColumn="1" w:lastColumn="0" w:noHBand="0" w:noVBand="1"/>
        </w:tblPr>
        <w:tblGrid>
          <w:gridCol w:w="3439"/>
        </w:tblGrid>
        <w:tr w:rsidR="00A171F4" w:rsidRPr="002E765F" w:rsidTr="00D166AC">
          <w:trPr>
            <w:cnfStyle w:val="100000000000" w:firstRow="1" w:lastRow="0" w:firstColumn="0" w:lastColumn="0" w:oddVBand="0" w:evenVBand="0" w:oddHBand="0" w:evenHBand="0" w:firstRowFirstColumn="0" w:firstRowLastColumn="0" w:lastRowFirstColumn="0" w:lastRowLastColumn="0"/>
            <w:trHeight w:hRule="exact" w:val="510"/>
          </w:trPr>
          <w:tc>
            <w:tcPr>
              <w:tcW w:w="3439" w:type="dxa"/>
            </w:tcPr>
            <w:p w:rsidR="00A171F4" w:rsidRPr="002E765F" w:rsidRDefault="00A171F4" w:rsidP="00D166AC">
              <w:pPr>
                <w:pStyle w:val="Titel"/>
                <w:jc w:val="right"/>
                <w:rPr>
                  <w:sz w:val="32"/>
                  <w:szCs w:val="34"/>
                </w:rPr>
              </w:pPr>
              <w:r w:rsidRPr="002E765F">
                <w:rPr>
                  <w:sz w:val="32"/>
                  <w:szCs w:val="34"/>
                </w:rPr>
                <w:t>PRESS</w:t>
              </w:r>
              <w:r>
                <w:rPr>
                  <w:sz w:val="32"/>
                  <w:szCs w:val="34"/>
                </w:rPr>
                <w:t xml:space="preserve"> </w:t>
              </w:r>
              <w:r w:rsidRPr="002E765F">
                <w:rPr>
                  <w:sz w:val="6"/>
                  <w:szCs w:val="2"/>
                </w:rPr>
                <w:t xml:space="preserve"> </w:t>
              </w:r>
              <w:r>
                <w:rPr>
                  <w:sz w:val="32"/>
                  <w:szCs w:val="34"/>
                </w:rPr>
                <w:t>R</w:t>
              </w:r>
              <w:r w:rsidRPr="002E765F">
                <w:rPr>
                  <w:sz w:val="32"/>
                  <w:szCs w:val="34"/>
                </w:rPr>
                <w:t>ELEASE</w:t>
              </w:r>
            </w:p>
          </w:tc>
        </w:tr>
      </w:tbl>
      <w:p w:rsidR="00A171F4" w:rsidRPr="002E765F" w:rsidRDefault="00A171F4">
        <w:pPr>
          <w:pStyle w:val="Kopfzeile"/>
          <w:rPr>
            <w:sz w:val="14"/>
          </w:rPr>
        </w:pPr>
        <w:r w:rsidRPr="002E765F">
          <w:rPr>
            <w:noProof/>
            <w:sz w:val="14"/>
            <w:lang w:eastAsia="de-DE"/>
          </w:rPr>
          <w:drawing>
            <wp:anchor distT="0" distB="0" distL="114300" distR="114300" simplePos="0" relativeHeight="251666432" behindDoc="0" locked="0" layoutInCell="1" allowOverlap="1" wp14:anchorId="6A756653" wp14:editId="34E37F2E">
              <wp:simplePos x="0" y="0"/>
              <wp:positionH relativeFrom="page">
                <wp:posOffset>5443855</wp:posOffset>
              </wp:positionH>
              <wp:positionV relativeFrom="page">
                <wp:posOffset>323850</wp:posOffset>
              </wp:positionV>
              <wp:extent cx="1360800" cy="64800"/>
              <wp:effectExtent l="0" t="0" r="0" b="0"/>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tgen-Claim_RGB.wmf"/>
                      <pic:cNvPicPr/>
                    </pic:nvPicPr>
                    <pic:blipFill>
                      <a:blip r:embed="rId2" cstate="print">
                        <a:extLst>
                          <a:ext uri="{28A0092B-C50C-407E-A947-70E740481C1C}">
                            <a14:useLocalDpi xmlns:a14="http://schemas.microsoft.com/office/drawing/2010/main" val="0"/>
                          </a:ext>
                        </a:extLst>
                      </a:blip>
                      <a:stretch>
                        <a:fillRect/>
                      </a:stretch>
                    </pic:blipFill>
                    <pic:spPr>
                      <a:xfrm>
                        <a:off x="0" y="0"/>
                        <a:ext cx="1360800" cy="64800"/>
                      </a:xfrm>
                      <a:prstGeom prst="rect">
                        <a:avLst/>
                      </a:prstGeom>
                    </pic:spPr>
                  </pic:pic>
                </a:graphicData>
              </a:graphic>
              <wp14:sizeRelH relativeFrom="margin">
                <wp14:pctWidth>0</wp14:pctWidth>
              </wp14:sizeRelH>
              <wp14:sizeRelV relativeFrom="margin">
                <wp14:pctHeight>0</wp14:pctHeight>
              </wp14:sizeRelV>
            </wp:anchor>
          </w:drawing>
        </w:r>
        <w:r w:rsidRPr="002E765F">
          <w:rPr>
            <w:noProof/>
            <w:sz w:val="14"/>
            <w:lang w:eastAsia="de-DE"/>
          </w:rPr>
          <mc:AlternateContent>
            <mc:Choice Requires="wps">
              <w:drawing>
                <wp:anchor distT="0" distB="0" distL="114300" distR="114300" simplePos="0" relativeHeight="251668480" behindDoc="0" locked="0" layoutInCell="1" allowOverlap="1" wp14:anchorId="1692D950" wp14:editId="1AA77E1F">
                  <wp:simplePos x="0" y="0"/>
                  <wp:positionH relativeFrom="page">
                    <wp:posOffset>756285</wp:posOffset>
                  </wp:positionH>
                  <wp:positionV relativeFrom="page">
                    <wp:posOffset>702310</wp:posOffset>
                  </wp:positionV>
                  <wp:extent cx="6048000" cy="36000"/>
                  <wp:effectExtent l="0" t="0" r="0" b="2540"/>
                  <wp:wrapNone/>
                  <wp:docPr id="11" name="Rechteck 11"/>
                  <wp:cNvGraphicFramePr/>
                  <a:graphic xmlns:a="http://schemas.openxmlformats.org/drawingml/2006/main">
                    <a:graphicData uri="http://schemas.microsoft.com/office/word/2010/wordprocessingShape">
                      <wps:wsp>
                        <wps:cNvSpPr/>
                        <wps:spPr>
                          <a:xfrm>
                            <a:off x="0" y="0"/>
                            <a:ext cx="6048000" cy="36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7C2226" id="Rechteck 11" o:spid="_x0000_s1026" style="position:absolute;margin-left:59.55pt;margin-top:55.3pt;width:476.2pt;height:2.85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kOljgIAAIQFAAAOAAAAZHJzL2Uyb0RvYy54bWysVN9P2zAQfp+0/8Hy+0jaFQYVKaqKmCYh&#10;QMDEs3Hsxprj82y3affX72wnKTC0h2kvic93990Pf3fnF7tWk61wXoGp6OSopEQYDrUy64p+f7z6&#10;dEqJD8zUTIMRFd0LTy8WHz+cd3YuptCAroUjCGL8vLMVbUKw86LwvBEt80dghUGlBNeygKJbF7Vj&#10;HaK3upiW5UnRgautAy68x9vLrKSLhC+l4OFWSi8C0RXF3EL6uvR9jt9icc7ma8dso3ifBvuHLFqm&#10;DAYdoS5ZYGTj1B9QreIOPMhwxKEtQErFRaoBq5mUb6p5aJgVqRZsjrdjm/z/g+U32ztHVI1vN6HE&#10;sBbf6F7wJgj+g+AV9qezfo5mD/bO9ZLHYyx2J10b/1gG2aWe7seeil0gHC9PytlpWWLrOeo+n8Qj&#10;ohQHZ+t8+CqgJfFQUYdPljrJttc+ZNPBJMbyoFV9pbROQqSJWGlHtgwfOOymPfgrK22irYHolQHj&#10;TRHrypWkU9hrEe20uRcSO4K5T1MiiYuHIIxzYcIkqxpWixz7GCsbShs9UqEJMCJLjD9i9wCvCxiw&#10;c5a9fXQVicqjc/m3xLLz6JEigwmjc6sMuPcANFbVR872Q5Nya2KXnqHeI18c5EHyll8pfLZr5sMd&#10;czg5+NC4DcItfqSGrqLQnyhpwP167z7aI6FRS0mHk1hR/3PDnKBEfzNI9bPJbBZHNwmz4y9TFNxL&#10;zfNLjdm0K0AuIJsxu3SM9kEPR+mgfcKlsYxRUcUMx9gV5cENwirkDYFrh4vlMpnhuFoWrs2D5RE8&#10;djXS8nH3xJztuRuQ9DcwTC2bv6Fwto2eBpabAFIlfh/62vcbRz0Rp19LcZe8lJPVYXkufgMAAP//&#10;AwBQSwMEFAAGAAgAAAAhAC6E/ljfAAAADAEAAA8AAABkcnMvZG93bnJldi54bWxMj8FOwzAQRO9I&#10;/IO1SNyoHRAhDXGqqBKHilNbhMTNjZckwl6H2G3M3+Oc4LazO5p9U22iNeyCkx8cSchWAhhS6/RA&#10;nYS348tdAcwHRVoZRyjhBz1s6uurSpXazbTHyyF0LIWQL5WEPoSx5Ny3PVrlV25ESrdPN1kVkpw6&#10;ric1p3Br+L0QObdqoPShVyNue2y/DmcrYbub3xtT7D66wq6b18j3U/Mdpby9ic0zsIAx/JlhwU/o&#10;UCemkzuT9swkna2zZF0GkQNbHOIpewR2Wlb5A/C64v9L1L8AAAD//wMAUEsBAi0AFAAGAAgAAAAh&#10;ALaDOJL+AAAA4QEAABMAAAAAAAAAAAAAAAAAAAAAAFtDb250ZW50X1R5cGVzXS54bWxQSwECLQAU&#10;AAYACAAAACEAOP0h/9YAAACUAQAACwAAAAAAAAAAAAAAAAAvAQAAX3JlbHMvLnJlbHNQSwECLQAU&#10;AAYACAAAACEAPTpDpY4CAACEBQAADgAAAAAAAAAAAAAAAAAuAgAAZHJzL2Uyb0RvYy54bWxQSwEC&#10;LQAUAAYACAAAACEALoT+WN8AAAAMAQAADwAAAAAAAAAAAAAAAADoBAAAZHJzL2Rvd25yZXYueG1s&#10;UEsFBgAAAAAEAAQA8wAAAPQFAAAAAA==&#10;" fillcolor="#0062a7 [3215]" stroked="f" strokeweight="2pt">
                  <w10:wrap anchorx="page" anchory="page"/>
                </v:rect>
              </w:pict>
            </mc:Fallback>
          </mc:AlternateContent>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80274487"/>
      <w:lock w:val="sdtContentLocked"/>
    </w:sdtPr>
    <w:sdtEndPr/>
    <w:sdtContent>
      <w:p w:rsidR="00A171F4" w:rsidRDefault="00A171F4">
        <w:pPr>
          <w:pStyle w:val="Kopfzeile"/>
        </w:pPr>
        <w:r>
          <w:rPr>
            <w:noProof/>
            <w:lang w:eastAsia="de-DE"/>
          </w:rPr>
          <mc:AlternateContent>
            <mc:Choice Requires="wps">
              <w:drawing>
                <wp:anchor distT="0" distB="0" distL="114300" distR="114300" simplePos="0" relativeHeight="251660288" behindDoc="0" locked="0" layoutInCell="1" allowOverlap="1" wp14:anchorId="615A7A5C" wp14:editId="67150764">
                  <wp:simplePos x="0" y="0"/>
                  <wp:positionH relativeFrom="page">
                    <wp:posOffset>756285</wp:posOffset>
                  </wp:positionH>
                  <wp:positionV relativeFrom="page">
                    <wp:posOffset>935990</wp:posOffset>
                  </wp:positionV>
                  <wp:extent cx="6048000" cy="36000"/>
                  <wp:effectExtent l="0" t="0" r="0" b="2540"/>
                  <wp:wrapNone/>
                  <wp:docPr id="5" name="Rechteck 5"/>
                  <wp:cNvGraphicFramePr/>
                  <a:graphic xmlns:a="http://schemas.openxmlformats.org/drawingml/2006/main">
                    <a:graphicData uri="http://schemas.microsoft.com/office/word/2010/wordprocessingShape">
                      <wps:wsp>
                        <wps:cNvSpPr/>
                        <wps:spPr>
                          <a:xfrm>
                            <a:off x="0" y="0"/>
                            <a:ext cx="6048000" cy="36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864D6" id="Rechteck 5" o:spid="_x0000_s1026" style="position:absolute;margin-left:59.55pt;margin-top:73.7pt;width:476.2pt;height:2.8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cf4jgIAAIIFAAAOAAAAZHJzL2Uyb0RvYy54bWysVFFP2zAQfp+0/2D5fSTtWgYVKapATJMQ&#10;VMDEs3FsYs3xebbbtPv1O9tJCgztYdpL4vPdfXf3+e7OznetJlvhvAJT0clRSYkwHGplniv6/eHq&#10;0wklPjBTMw1GVHQvPD1ffvxw1tmFmEIDuhaOIIjxi85WtAnBLorC80a0zB+BFQaVElzLAoruuagd&#10;6xC91cW0LI+LDlxtHXDhPd5eZiVdJnwpBQ+3UnoRiK4o5hbS16XvU/wWyzO2eHbMNor3abB/yKJl&#10;ymDQEeqSBUY2Tv0B1SruwIMMRxzaAqRUXKQasJpJ+aaa+4ZZkWpBcrwdafL/D5bfbNeOqLqic0oM&#10;a/GJ7gRvguA/yDyy01m/QKN7u3a95PEYS91J18Y/FkF2idH9yKjYBcLx8ricnZQlEs9R9/k4HhGl&#10;ODhb58NXAS2Jh4o6fLDEI9te+5BNB5MYy4NW9ZXSOgmxScSFdmTL8HnDbtqDv7LSJtoaiF4ZMN4U&#10;sa5cSTqFvRbRTps7IZEPzH2aEkmdeAjCOBcmTLKqYbXIsedY2VDa6JEKTYARWWL8EbsHeF3AgJ2z&#10;7O2jq0iNPDqXf0ssO48eKTKYMDq3yoB7D0BjVX3kbD+QlKmJLD1BvcducZDHyFt+pfDZrpkPa+Zw&#10;bvChcReEW/xIDV1FoT9R0oD79d59tMd2Ri0lHc5hRf3PDXOCEv3NYKOfTmazOLhJmM2/TFFwLzVP&#10;LzVm014A9sIEt47l6Rjtgx6O0kH7iCtjFaOiihmOsSvKgxuEi5D3Ay4dLlarZIbDalm4NveWR/DI&#10;amzLh90jc7bv3YBNfwPDzLLFmxbOttHTwGoTQKrU3wdee75x0FPj9EspbpKXcrI6rM7lbwAAAP//&#10;AwBQSwMEFAAGAAgAAAAhAHhOUpjgAAAADAEAAA8AAABkcnMvZG93bnJldi54bWxMj8FOwzAQRO9I&#10;/IO1SNyoY2hpGuJUUSUOFacWVKk3NzZJhL0OsduYv2d7gtuM9ml2plwnZ9nFjKH3KEHMMmAGG697&#10;bCV8vL8+5MBCVKiV9Wgk/JgA6+r2plSF9hPuzGUfW0YhGAoloYtxKDgPTWecCjM/GKTbpx+dimTH&#10;lutRTRTuLH/MsmfuVI/0oVOD2XSm+dqfnYTNdjrUNt8e29yt6rfEd2P9naS8v0v1C7BoUvyD4Vqf&#10;qkNFnU7+jDowS16sBKEk5ss5sCuRLcUC2InU4kkAr0r+f0T1CwAA//8DAFBLAQItABQABgAIAAAA&#10;IQC2gziS/gAAAOEBAAATAAAAAAAAAAAAAAAAAAAAAABbQ29udGVudF9UeXBlc10ueG1sUEsBAi0A&#10;FAAGAAgAAAAhADj9If/WAAAAlAEAAAsAAAAAAAAAAAAAAAAALwEAAF9yZWxzLy5yZWxzUEsBAi0A&#10;FAAGAAgAAAAhAJapx/iOAgAAggUAAA4AAAAAAAAAAAAAAAAALgIAAGRycy9lMm9Eb2MueG1sUEsB&#10;Ai0AFAAGAAgAAAAhAHhOUpjgAAAADAEAAA8AAAAAAAAAAAAAAAAA6AQAAGRycy9kb3ducmV2Lnht&#10;bFBLBQYAAAAABAAEAPMAAAD1BQAAAAA=&#10;" fillcolor="#0062a7 [3215]" stroked="f" strokeweight="2pt">
                  <w10:wrap anchorx="page" anchory="page"/>
                </v:rect>
              </w:pict>
            </mc:Fallback>
          </mc:AlternateContent>
        </w:r>
        <w:r>
          <w:rPr>
            <w:noProof/>
            <w:lang w:eastAsia="de-DE"/>
          </w:rPr>
          <w:drawing>
            <wp:anchor distT="0" distB="0" distL="114300" distR="114300" simplePos="0" relativeHeight="251659264" behindDoc="0" locked="0" layoutInCell="1" allowOverlap="1" wp14:anchorId="2CC97DB7" wp14:editId="48E8AF05">
              <wp:simplePos x="0" y="0"/>
              <wp:positionH relativeFrom="page">
                <wp:posOffset>5328920</wp:posOffset>
              </wp:positionH>
              <wp:positionV relativeFrom="page">
                <wp:posOffset>421005</wp:posOffset>
              </wp:positionV>
              <wp:extent cx="1476000" cy="79200"/>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tgen-Claim_RGB.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76000" cy="792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58240" behindDoc="0" locked="0" layoutInCell="1" allowOverlap="1" wp14:anchorId="218F2EFB" wp14:editId="0D0A16B3">
              <wp:simplePos x="0" y="0"/>
              <wp:positionH relativeFrom="page">
                <wp:posOffset>756285</wp:posOffset>
              </wp:positionH>
              <wp:positionV relativeFrom="page">
                <wp:posOffset>360045</wp:posOffset>
              </wp:positionV>
              <wp:extent cx="3290400" cy="360000"/>
              <wp:effectExtent l="0" t="0" r="0" b="254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gten Group.wmf"/>
                      <pic:cNvPicPr/>
                    </pic:nvPicPr>
                    <pic:blipFill>
                      <a:blip r:embed="rId2" cstate="print">
                        <a:extLst>
                          <a:ext uri="{28A0092B-C50C-407E-A947-70E740481C1C}">
                            <a14:useLocalDpi xmlns:a14="http://schemas.microsoft.com/office/drawing/2010/main" val="0"/>
                          </a:ext>
                        </a:extLst>
                      </a:blip>
                      <a:stretch>
                        <a:fillRect/>
                      </a:stretch>
                    </pic:blipFill>
                    <pic:spPr>
                      <a:xfrm>
                        <a:off x="0" y="0"/>
                        <a:ext cx="3290400" cy="360000"/>
                      </a:xfrm>
                      <a:prstGeom prst="rect">
                        <a:avLst/>
                      </a:prstGeom>
                    </pic:spPr>
                  </pic:pic>
                </a:graphicData>
              </a:graphic>
              <wp14:sizeRelH relativeFrom="margin">
                <wp14:pctWidth>0</wp14:pctWidth>
              </wp14:sizeRelH>
              <wp14:sizeRelV relativeFrom="margin">
                <wp14:pctHeight>0</wp14:pctHeight>
              </wp14:sizeRelV>
            </wp:anchor>
          </w:drawing>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500.75pt;height:1500.75pt" o:bullet="t">
        <v:imagedata r:id="rId1" o:title="AZ_04a"/>
      </v:shape>
    </w:pict>
  </w:numPicBullet>
  <w:numPicBullet w:numPicBulletId="1">
    <w:pict>
      <v:shape id="_x0000_i1035" type="#_x0000_t75" style="width:7.5pt;height:7.5pt" o:bullet="t">
        <v:imagedata r:id="rId2" o:title="aufzählung"/>
      </v:shape>
    </w:pict>
  </w:numPicBullet>
  <w:numPicBullet w:numPicBulletId="2">
    <w:pict>
      <v:shape id="_x0000_i1036" type="#_x0000_t75" style="width:11.9pt;height:11.9pt" o:bullet="t">
        <v:imagedata r:id="rId3" o:title="Pfeil_Benninghoven"/>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Theme="minorHAnsi" w:hAnsiTheme="minorHAnsi" w:hint="default"/>
        <w:sz w:val="36"/>
      </w:rPr>
    </w:lvl>
    <w:lvl w:ilvl="1">
      <w:start w:val="1"/>
      <w:numFmt w:val="decimal"/>
      <w:lvlText w:val="%1.%2."/>
      <w:lvlJc w:val="left"/>
      <w:pPr>
        <w:tabs>
          <w:tab w:val="num" w:pos="510"/>
        </w:tabs>
        <w:ind w:left="510" w:hanging="510"/>
      </w:pPr>
      <w:rPr>
        <w:rFonts w:asciiTheme="minorHAnsi" w:hAnsiTheme="minorHAnsi" w:hint="default"/>
        <w:sz w:val="26"/>
      </w:rPr>
    </w:lvl>
    <w:lvl w:ilvl="2">
      <w:start w:val="1"/>
      <w:numFmt w:val="decimal"/>
      <w:lvlText w:val="%1.%2.%3"/>
      <w:lvlJc w:val="left"/>
      <w:pPr>
        <w:tabs>
          <w:tab w:val="num" w:pos="680"/>
        </w:tabs>
        <w:ind w:left="680" w:hanging="680"/>
      </w:pPr>
      <w:rPr>
        <w:rFonts w:asciiTheme="minorHAnsi" w:hAnsiTheme="minorHAnsi" w:hint="default"/>
        <w:sz w:val="22"/>
      </w:rPr>
    </w:lvl>
    <w:lvl w:ilvl="3">
      <w:start w:val="1"/>
      <w:numFmt w:val="decimal"/>
      <w:lvlText w:val="%1.%2.%3.%4."/>
      <w:lvlJc w:val="left"/>
      <w:pPr>
        <w:tabs>
          <w:tab w:val="num" w:pos="851"/>
        </w:tabs>
        <w:ind w:left="851" w:hanging="851"/>
      </w:pPr>
      <w:rPr>
        <w:rFonts w:asciiTheme="minorHAnsi" w:hAnsiTheme="minorHAnsi"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19B32D29"/>
    <w:multiLevelType w:val="hybridMultilevel"/>
    <w:tmpl w:val="583EC39C"/>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A490E14"/>
    <w:multiLevelType w:val="hybridMultilevel"/>
    <w:tmpl w:val="8F1C934C"/>
    <w:lvl w:ilvl="0" w:tplc="4D529B9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4F46ADD"/>
    <w:multiLevelType w:val="multilevel"/>
    <w:tmpl w:val="B1A82EFC"/>
    <w:numStyleLink w:val="zzzThemen"/>
  </w:abstractNum>
  <w:abstractNum w:abstractNumId="6" w15:restartNumberingAfterBreak="0">
    <w:nsid w:val="2B8D7562"/>
    <w:multiLevelType w:val="hybridMultilevel"/>
    <w:tmpl w:val="1388A60E"/>
    <w:lvl w:ilvl="0" w:tplc="AFC23784">
      <w:start w:val="1"/>
      <w:numFmt w:val="bullet"/>
      <w:lvlText w:val=""/>
      <w:lvlPicBulletId w:val="2"/>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39218AE"/>
    <w:multiLevelType w:val="hybridMultilevel"/>
    <w:tmpl w:val="95AA2B98"/>
    <w:lvl w:ilvl="0" w:tplc="AFC23784">
      <w:start w:val="1"/>
      <w:numFmt w:val="bullet"/>
      <w:lvlText w:val=""/>
      <w:lvlPicBulletId w:val="2"/>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70C7E83"/>
    <w:multiLevelType w:val="multilevel"/>
    <w:tmpl w:val="AA5ADA32"/>
    <w:lvl w:ilvl="0">
      <w:start w:val="1"/>
      <w:numFmt w:val="decimal"/>
      <w:lvlText w:val="%1"/>
      <w:lvlJc w:val="left"/>
      <w:pPr>
        <w:tabs>
          <w:tab w:val="num" w:pos="425"/>
        </w:tabs>
        <w:ind w:left="0" w:firstLine="0"/>
      </w:pPr>
      <w:rPr>
        <w:rFonts w:asciiTheme="minorHAnsi" w:hAnsiTheme="minorHAnsi" w:hint="default"/>
        <w:sz w:val="32"/>
      </w:rPr>
    </w:lvl>
    <w:lvl w:ilvl="1">
      <w:start w:val="1"/>
      <w:numFmt w:val="decimal"/>
      <w:lvlText w:val="%1.%2"/>
      <w:lvlJc w:val="left"/>
      <w:pPr>
        <w:tabs>
          <w:tab w:val="num" w:pos="567"/>
        </w:tabs>
        <w:ind w:left="0" w:firstLine="0"/>
      </w:pPr>
      <w:rPr>
        <w:rFonts w:asciiTheme="majorHAnsi" w:hAnsiTheme="majorHAnsi" w:hint="default"/>
        <w:sz w:val="20"/>
      </w:rPr>
    </w:lvl>
    <w:lvl w:ilvl="2">
      <w:start w:val="1"/>
      <w:numFmt w:val="decimal"/>
      <w:lvlText w:val="%1.%2.%3"/>
      <w:lvlJc w:val="left"/>
      <w:pPr>
        <w:tabs>
          <w:tab w:val="num" w:pos="851"/>
        </w:tabs>
        <w:ind w:left="0" w:firstLine="0"/>
      </w:pPr>
      <w:rPr>
        <w:rFonts w:asciiTheme="majorHAnsi" w:hAnsiTheme="majorHAnsi" w:hint="default"/>
        <w:sz w:val="20"/>
      </w:rPr>
    </w:lvl>
    <w:lvl w:ilvl="3">
      <w:start w:val="1"/>
      <w:numFmt w:val="decimal"/>
      <w:lvlText w:val="%1.%2.%3.%4"/>
      <w:lvlJc w:val="left"/>
      <w:pPr>
        <w:tabs>
          <w:tab w:val="num" w:pos="851"/>
        </w:tabs>
        <w:ind w:left="0" w:firstLine="0"/>
      </w:pPr>
      <w:rPr>
        <w:rFonts w:asciiTheme="majorHAnsi" w:hAnsiTheme="majorHAnsi"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440A6F14"/>
    <w:multiLevelType w:val="hybridMultilevel"/>
    <w:tmpl w:val="67F23B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Theme="minorHAnsi" w:hAnsiTheme="minorHAnsi" w:hint="default"/>
        <w:sz w:val="16"/>
      </w:rPr>
    </w:lvl>
    <w:lvl w:ilvl="1">
      <w:start w:val="1"/>
      <w:numFmt w:val="none"/>
      <w:lvlRestart w:val="0"/>
      <w:lvlText w:val="%1."/>
      <w:lvlJc w:val="left"/>
      <w:pPr>
        <w:tabs>
          <w:tab w:val="num" w:pos="284"/>
        </w:tabs>
        <w:ind w:left="284" w:hanging="284"/>
      </w:pPr>
      <w:rPr>
        <w:rFonts w:asciiTheme="minorHAnsi" w:hAnsiTheme="minorHAnsi"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5B8C5DFE"/>
    <w:multiLevelType w:val="hybridMultilevel"/>
    <w:tmpl w:val="2E249A70"/>
    <w:lvl w:ilvl="0" w:tplc="B316C18E">
      <w:start w:val="1"/>
      <w:numFmt w:val="bullet"/>
      <w:lvlText w:val=""/>
      <w:lvlPicBulletId w:val="2"/>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Theme="minorHAnsi" w:hAnsiTheme="minorHAnsi" w:hint="default"/>
        <w:b/>
        <w:i w:val="0"/>
        <w:sz w:val="22"/>
      </w:rPr>
    </w:lvl>
    <w:lvl w:ilvl="1">
      <w:start w:val="1"/>
      <w:numFmt w:val="decimal"/>
      <w:lvlText w:val="%1.%2"/>
      <w:lvlJc w:val="left"/>
      <w:pPr>
        <w:tabs>
          <w:tab w:val="num" w:pos="567"/>
        </w:tabs>
        <w:ind w:left="567" w:hanging="567"/>
      </w:pPr>
      <w:rPr>
        <w:rFonts w:asciiTheme="minorHAnsi" w:hAnsiTheme="minorHAnsi" w:hint="default"/>
        <w:b/>
        <w:i w:val="0"/>
        <w:sz w:val="19"/>
      </w:rPr>
    </w:lvl>
    <w:lvl w:ilvl="2">
      <w:start w:val="1"/>
      <w:numFmt w:val="decimal"/>
      <w:lvlText w:val="%1.%2.%3"/>
      <w:lvlJc w:val="left"/>
      <w:pPr>
        <w:tabs>
          <w:tab w:val="num" w:pos="567"/>
        </w:tabs>
        <w:ind w:left="567" w:hanging="567"/>
      </w:pPr>
      <w:rPr>
        <w:rFonts w:asciiTheme="minorHAnsi" w:hAnsiTheme="minorHAnsi"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4" w15:restartNumberingAfterBreak="0">
    <w:nsid w:val="7FEA0A23"/>
    <w:multiLevelType w:val="multilevel"/>
    <w:tmpl w:val="CD7452BA"/>
    <w:lvl w:ilvl="0">
      <w:start w:val="1"/>
      <w:numFmt w:val="decimal"/>
      <w:lvlText w:val="%1"/>
      <w:lvlJc w:val="left"/>
      <w:pPr>
        <w:tabs>
          <w:tab w:val="num" w:pos="284"/>
        </w:tabs>
        <w:ind w:left="0" w:firstLine="0"/>
      </w:pPr>
      <w:rPr>
        <w:rFonts w:asciiTheme="majorHAnsi" w:hAnsiTheme="majorHAnsi" w:hint="default"/>
        <w:sz w:val="20"/>
      </w:rPr>
    </w:lvl>
    <w:lvl w:ilvl="1">
      <w:start w:val="1"/>
      <w:numFmt w:val="decimal"/>
      <w:lvlText w:val="%1.%2"/>
      <w:lvlJc w:val="left"/>
      <w:pPr>
        <w:tabs>
          <w:tab w:val="num" w:pos="567"/>
        </w:tabs>
        <w:ind w:left="0" w:firstLine="0"/>
      </w:pPr>
      <w:rPr>
        <w:rFonts w:asciiTheme="majorHAnsi" w:hAnsiTheme="majorHAnsi" w:hint="default"/>
        <w:sz w:val="20"/>
      </w:rPr>
    </w:lvl>
    <w:lvl w:ilvl="2">
      <w:start w:val="1"/>
      <w:numFmt w:val="decimal"/>
      <w:lvlText w:val="%1.%2.%3"/>
      <w:lvlJc w:val="left"/>
      <w:pPr>
        <w:tabs>
          <w:tab w:val="num" w:pos="851"/>
        </w:tabs>
        <w:ind w:left="0" w:firstLine="0"/>
      </w:pPr>
      <w:rPr>
        <w:rFonts w:asciiTheme="majorHAnsi" w:hAnsiTheme="majorHAnsi" w:hint="default"/>
        <w:sz w:val="20"/>
      </w:rPr>
    </w:lvl>
    <w:lvl w:ilvl="3">
      <w:start w:val="1"/>
      <w:numFmt w:val="decimal"/>
      <w:lvlText w:val="%1.%2.%3.%4"/>
      <w:lvlJc w:val="left"/>
      <w:pPr>
        <w:tabs>
          <w:tab w:val="num" w:pos="851"/>
        </w:tabs>
        <w:ind w:left="0" w:firstLine="0"/>
      </w:pPr>
      <w:rPr>
        <w:rFonts w:asciiTheme="majorHAnsi" w:hAnsiTheme="majorHAnsi"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4"/>
  </w:num>
  <w:num w:numId="2">
    <w:abstractNumId w:val="14"/>
  </w:num>
  <w:num w:numId="3">
    <w:abstractNumId w:val="14"/>
  </w:num>
  <w:num w:numId="4">
    <w:abstractNumId w:val="14"/>
  </w:num>
  <w:num w:numId="5">
    <w:abstractNumId w:val="14"/>
  </w:num>
  <w:num w:numId="6">
    <w:abstractNumId w:val="2"/>
  </w:num>
  <w:num w:numId="7">
    <w:abstractNumId w:val="2"/>
  </w:num>
  <w:num w:numId="8">
    <w:abstractNumId w:val="2"/>
  </w:num>
  <w:num w:numId="9">
    <w:abstractNumId w:val="2"/>
  </w:num>
  <w:num w:numId="10">
    <w:abstractNumId w:val="2"/>
  </w:num>
  <w:num w:numId="11">
    <w:abstractNumId w:val="10"/>
  </w:num>
  <w:num w:numId="12">
    <w:abstractNumId w:val="10"/>
  </w:num>
  <w:num w:numId="13">
    <w:abstractNumId w:val="8"/>
  </w:num>
  <w:num w:numId="14">
    <w:abstractNumId w:val="8"/>
  </w:num>
  <w:num w:numId="15">
    <w:abstractNumId w:val="8"/>
  </w:num>
  <w:num w:numId="16">
    <w:abstractNumId w:val="8"/>
  </w:num>
  <w:num w:numId="17">
    <w:abstractNumId w:val="8"/>
  </w:num>
  <w:num w:numId="18">
    <w:abstractNumId w:val="1"/>
  </w:num>
  <w:num w:numId="19">
    <w:abstractNumId w:val="5"/>
  </w:num>
  <w:num w:numId="20">
    <w:abstractNumId w:val="13"/>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num>
  <w:num w:numId="27">
    <w:abstractNumId w:val="9"/>
  </w:num>
  <w:num w:numId="28">
    <w:abstractNumId w:val="12"/>
  </w:num>
  <w:num w:numId="29">
    <w:abstractNumId w:val="6"/>
  </w:num>
  <w:num w:numId="30">
    <w:abstractNumId w:val="7"/>
  </w:num>
  <w:num w:numId="3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51F45"/>
    <w:rsid w:val="00042106"/>
    <w:rsid w:val="0005285B"/>
    <w:rsid w:val="00066D09"/>
    <w:rsid w:val="00071AAD"/>
    <w:rsid w:val="0009665C"/>
    <w:rsid w:val="000C7C24"/>
    <w:rsid w:val="00103205"/>
    <w:rsid w:val="0012026F"/>
    <w:rsid w:val="00132055"/>
    <w:rsid w:val="00147E7D"/>
    <w:rsid w:val="001804E7"/>
    <w:rsid w:val="001822F7"/>
    <w:rsid w:val="00186281"/>
    <w:rsid w:val="00187006"/>
    <w:rsid w:val="001A1F24"/>
    <w:rsid w:val="001B16BB"/>
    <w:rsid w:val="001B5082"/>
    <w:rsid w:val="001C39B0"/>
    <w:rsid w:val="00201EEC"/>
    <w:rsid w:val="00253A2E"/>
    <w:rsid w:val="0029634D"/>
    <w:rsid w:val="002B585E"/>
    <w:rsid w:val="002B5FF2"/>
    <w:rsid w:val="002E765F"/>
    <w:rsid w:val="002F108B"/>
    <w:rsid w:val="003213F8"/>
    <w:rsid w:val="00321C7C"/>
    <w:rsid w:val="0034191A"/>
    <w:rsid w:val="00343CC7"/>
    <w:rsid w:val="0034512F"/>
    <w:rsid w:val="00353E39"/>
    <w:rsid w:val="003567C0"/>
    <w:rsid w:val="00384A08"/>
    <w:rsid w:val="003A753A"/>
    <w:rsid w:val="003E1CB6"/>
    <w:rsid w:val="003E3CF6"/>
    <w:rsid w:val="003E759F"/>
    <w:rsid w:val="003F0691"/>
    <w:rsid w:val="00403373"/>
    <w:rsid w:val="00404E54"/>
    <w:rsid w:val="00406C81"/>
    <w:rsid w:val="00411224"/>
    <w:rsid w:val="00412545"/>
    <w:rsid w:val="0041324F"/>
    <w:rsid w:val="00430BB0"/>
    <w:rsid w:val="0044528F"/>
    <w:rsid w:val="00465666"/>
    <w:rsid w:val="00493F01"/>
    <w:rsid w:val="004D0F82"/>
    <w:rsid w:val="00506409"/>
    <w:rsid w:val="00530E32"/>
    <w:rsid w:val="005447EA"/>
    <w:rsid w:val="005466D6"/>
    <w:rsid w:val="00551F45"/>
    <w:rsid w:val="00560E88"/>
    <w:rsid w:val="005711A3"/>
    <w:rsid w:val="00573B2B"/>
    <w:rsid w:val="00582A7A"/>
    <w:rsid w:val="00584BD4"/>
    <w:rsid w:val="00595D58"/>
    <w:rsid w:val="005A4F04"/>
    <w:rsid w:val="005B5793"/>
    <w:rsid w:val="005D2974"/>
    <w:rsid w:val="005E6635"/>
    <w:rsid w:val="006330A2"/>
    <w:rsid w:val="00642EB6"/>
    <w:rsid w:val="00673057"/>
    <w:rsid w:val="006D25C0"/>
    <w:rsid w:val="006F7602"/>
    <w:rsid w:val="00707005"/>
    <w:rsid w:val="00714407"/>
    <w:rsid w:val="00714F09"/>
    <w:rsid w:val="00722A17"/>
    <w:rsid w:val="007278D0"/>
    <w:rsid w:val="00757B83"/>
    <w:rsid w:val="0076060A"/>
    <w:rsid w:val="007656B5"/>
    <w:rsid w:val="00791A69"/>
    <w:rsid w:val="00794830"/>
    <w:rsid w:val="00797CAA"/>
    <w:rsid w:val="007B7F97"/>
    <w:rsid w:val="007C2658"/>
    <w:rsid w:val="007C3488"/>
    <w:rsid w:val="007D5A4E"/>
    <w:rsid w:val="007E20D0"/>
    <w:rsid w:val="007E77C8"/>
    <w:rsid w:val="008029C1"/>
    <w:rsid w:val="0081485F"/>
    <w:rsid w:val="00820315"/>
    <w:rsid w:val="00832444"/>
    <w:rsid w:val="00843B45"/>
    <w:rsid w:val="00863129"/>
    <w:rsid w:val="008722A4"/>
    <w:rsid w:val="008728A3"/>
    <w:rsid w:val="00884EDA"/>
    <w:rsid w:val="00895B14"/>
    <w:rsid w:val="008C2DB2"/>
    <w:rsid w:val="008D770E"/>
    <w:rsid w:val="0090337E"/>
    <w:rsid w:val="00985111"/>
    <w:rsid w:val="009B0EC1"/>
    <w:rsid w:val="009C2378"/>
    <w:rsid w:val="009D016F"/>
    <w:rsid w:val="009E251D"/>
    <w:rsid w:val="00A171F4"/>
    <w:rsid w:val="00A24EFC"/>
    <w:rsid w:val="00A63597"/>
    <w:rsid w:val="00A977CE"/>
    <w:rsid w:val="00AD131F"/>
    <w:rsid w:val="00AF3B3A"/>
    <w:rsid w:val="00AF6569"/>
    <w:rsid w:val="00B0005E"/>
    <w:rsid w:val="00B0081C"/>
    <w:rsid w:val="00B06265"/>
    <w:rsid w:val="00B0758C"/>
    <w:rsid w:val="00B15E0C"/>
    <w:rsid w:val="00B239CB"/>
    <w:rsid w:val="00B41E02"/>
    <w:rsid w:val="00B90F78"/>
    <w:rsid w:val="00BC318F"/>
    <w:rsid w:val="00BD1058"/>
    <w:rsid w:val="00BF56B2"/>
    <w:rsid w:val="00BF7BFE"/>
    <w:rsid w:val="00C457C3"/>
    <w:rsid w:val="00C5117C"/>
    <w:rsid w:val="00C53621"/>
    <w:rsid w:val="00C644CA"/>
    <w:rsid w:val="00C73005"/>
    <w:rsid w:val="00C737E4"/>
    <w:rsid w:val="00C8133E"/>
    <w:rsid w:val="00CD0ECD"/>
    <w:rsid w:val="00CE00F6"/>
    <w:rsid w:val="00CF36C9"/>
    <w:rsid w:val="00CF40A7"/>
    <w:rsid w:val="00D166AC"/>
    <w:rsid w:val="00D608D1"/>
    <w:rsid w:val="00D61172"/>
    <w:rsid w:val="00D66B5C"/>
    <w:rsid w:val="00D7785A"/>
    <w:rsid w:val="00DB6D77"/>
    <w:rsid w:val="00DC754A"/>
    <w:rsid w:val="00E14608"/>
    <w:rsid w:val="00E1612A"/>
    <w:rsid w:val="00E21E67"/>
    <w:rsid w:val="00E30EBF"/>
    <w:rsid w:val="00E52D70"/>
    <w:rsid w:val="00E55534"/>
    <w:rsid w:val="00E575F8"/>
    <w:rsid w:val="00E770E8"/>
    <w:rsid w:val="00E914D1"/>
    <w:rsid w:val="00EA3976"/>
    <w:rsid w:val="00EB6A7A"/>
    <w:rsid w:val="00EF3014"/>
    <w:rsid w:val="00F20920"/>
    <w:rsid w:val="00F2313B"/>
    <w:rsid w:val="00F46C83"/>
    <w:rsid w:val="00F56318"/>
    <w:rsid w:val="00F631EC"/>
    <w:rsid w:val="00F73CBE"/>
    <w:rsid w:val="00F82525"/>
    <w:rsid w:val="00F97FEA"/>
    <w:rsid w:val="00FB47F8"/>
    <w:rsid w:val="00FC0D18"/>
    <w:rsid w:val="00FE61B5"/>
    <w:rsid w:val="00FF3870"/>
    <w:rsid w:val="00FF52AE"/>
  </w:rsids>
  <m:mathPr>
    <m:mathFont m:val="Cambria Math"/>
    <m:brkBin m:val="before"/>
    <m:brkBinSub m:val="--"/>
    <m:smallFrac m:val="0"/>
    <m:dispDef/>
    <m:lMargin m:val="0"/>
    <m:rMargin m:val="0"/>
    <m:defJc m:val="centerGroup"/>
    <m:wrapIndent m:val="1440"/>
    <m:intLim m:val="subSup"/>
    <m:naryLim m:val="undOvr"/>
  </m:mathPr>
  <w:themeFontLang w:val="de-DE" w:eastAsia="ko-KR"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ABCF9A"/>
  <w15:docId w15:val="{D1ACFA1F-DFA9-4F68-A9B9-1251AD149F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16"/>
        <w:szCs w:val="16"/>
        <w:lang w:val="it-IT"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8"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CE00F6"/>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Theme="majorEastAsia" w:cstheme="majorBidi"/>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asciiTheme="majorHAnsi" w:eastAsiaTheme="majorEastAsia" w:hAnsiTheme="majorHAnsi" w:cstheme="majorBidi"/>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asciiTheme="majorHAnsi" w:eastAsiaTheme="majorEastAsia" w:hAnsiTheme="majorHAnsi" w:cstheme="majorBidi"/>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asciiTheme="majorHAnsi" w:eastAsiaTheme="majorEastAsia" w:hAnsiTheme="majorHAnsi" w:cstheme="majorBidi"/>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rPr>
      <w:szCs w:val="20"/>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basedOn w:val="Absatz-Standardschriftart"/>
    <w:link w:val="berschrift1"/>
    <w:uiPriority w:val="9"/>
    <w:rsid w:val="00A171F4"/>
    <w:rPr>
      <w:rFonts w:eastAsiaTheme="majorEastAsia" w:cstheme="majorBidi"/>
      <w:b/>
      <w:sz w:val="40"/>
      <w:szCs w:val="32"/>
    </w:rPr>
  </w:style>
  <w:style w:type="character" w:customStyle="1" w:styleId="berschrift2Zchn">
    <w:name w:val="Überschrift 2 Zchn"/>
    <w:basedOn w:val="Absatz-Standardschriftart"/>
    <w:link w:val="berschrift2"/>
    <w:uiPriority w:val="9"/>
    <w:rsid w:val="002E765F"/>
    <w:rPr>
      <w:rFonts w:asciiTheme="majorHAnsi" w:eastAsiaTheme="majorEastAsia" w:hAnsiTheme="majorHAnsi" w:cstheme="majorBidi"/>
      <w:b/>
      <w:sz w:val="22"/>
      <w:szCs w:val="26"/>
    </w:rPr>
  </w:style>
  <w:style w:type="character" w:customStyle="1" w:styleId="berschrift3Zchn">
    <w:name w:val="Überschrift 3 Zchn"/>
    <w:basedOn w:val="Absatz-Standardschriftart"/>
    <w:link w:val="berschrift3"/>
    <w:uiPriority w:val="9"/>
    <w:rsid w:val="002E765F"/>
    <w:rPr>
      <w:rFonts w:asciiTheme="majorHAnsi" w:eastAsiaTheme="majorEastAsia" w:hAnsiTheme="majorHAnsi" w:cstheme="majorBidi"/>
      <w:b/>
      <w:sz w:val="20"/>
      <w:szCs w:val="24"/>
    </w:rPr>
  </w:style>
  <w:style w:type="character" w:customStyle="1" w:styleId="berschrift4Zchn">
    <w:name w:val="Überschrift 4 Zchn"/>
    <w:basedOn w:val="Absatz-Standardschriftart"/>
    <w:link w:val="berschrift4"/>
    <w:uiPriority w:val="9"/>
    <w:rsid w:val="002E765F"/>
    <w:rPr>
      <w:rFonts w:asciiTheme="majorHAnsi" w:eastAsiaTheme="majorEastAsia" w:hAnsiTheme="majorHAnsi" w:cstheme="majorBidi"/>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0062A7" w:themeColor="text2"/>
      <w:sz w:val="18"/>
    </w:rPr>
  </w:style>
  <w:style w:type="character" w:customStyle="1" w:styleId="FuzeileZchn">
    <w:name w:val="Fußzeile Zchn"/>
    <w:basedOn w:val="Absatz-Standardschriftart"/>
    <w:link w:val="Fuzeile"/>
    <w:uiPriority w:val="99"/>
    <w:rsid w:val="00642EB6"/>
    <w:rPr>
      <w:color w:val="0062A7" w:themeColor="text2"/>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basedOn w:val="Absatz-Standardschriftart"/>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6D25C0"/>
    <w:pPr>
      <w:spacing w:line="600" w:lineRule="exact"/>
      <w:contextualSpacing/>
    </w:pPr>
    <w:rPr>
      <w:rFonts w:asciiTheme="majorHAnsi" w:eastAsiaTheme="majorEastAsia" w:hAnsiTheme="majorHAnsi" w:cstheme="majorBidi"/>
      <w:b/>
      <w:color w:val="0062A7" w:themeColor="text2"/>
      <w:sz w:val="40"/>
      <w:szCs w:val="52"/>
    </w:rPr>
  </w:style>
  <w:style w:type="character" w:customStyle="1" w:styleId="TitelZchn">
    <w:name w:val="Titel Zchn"/>
    <w:basedOn w:val="Absatz-Standardschriftart"/>
    <w:link w:val="Titel"/>
    <w:rsid w:val="006D25C0"/>
    <w:rPr>
      <w:rFonts w:asciiTheme="majorHAnsi" w:eastAsiaTheme="majorEastAsia" w:hAnsiTheme="majorHAnsi" w:cstheme="majorBidi"/>
      <w:b/>
      <w:color w:val="0062A7" w:themeColor="text2"/>
      <w:sz w:val="40"/>
      <w:szCs w:val="52"/>
    </w:rPr>
  </w:style>
  <w:style w:type="character" w:styleId="Hervorhebung">
    <w:name w:val="Emphasis"/>
    <w:basedOn w:val="Absatz-Standardschriftart"/>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asciiTheme="majorHAnsi" w:eastAsiaTheme="majorEastAsia" w:hAnsiTheme="majorHAnsi" w:cstheme="majorBidi"/>
      <w:iCs/>
      <w:color w:val="5C666F" w:themeColor="accent1"/>
      <w:sz w:val="32"/>
      <w:szCs w:val="24"/>
    </w:rPr>
  </w:style>
  <w:style w:type="character" w:customStyle="1" w:styleId="UntertitelZchn">
    <w:name w:val="Untertitel Zchn"/>
    <w:basedOn w:val="Absatz-Standardschriftart"/>
    <w:link w:val="Untertitel"/>
    <w:rsid w:val="00843B45"/>
    <w:rPr>
      <w:rFonts w:asciiTheme="majorHAnsi" w:eastAsiaTheme="majorEastAsia" w:hAnsiTheme="majorHAnsi" w:cstheme="majorBidi"/>
      <w:iCs/>
      <w:color w:val="5C666F" w:themeColor="accent1"/>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styleId="Listenabsatz">
    <w:name w:val="List Paragraph"/>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basedOn w:val="Absatz-Standardschriftart"/>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styleId="SchwacheHervorhebung">
    <w:name w:val="Subtle Emphasis"/>
    <w:basedOn w:val="Absatz-Standardschriftart"/>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44528F"/>
    <w:pPr>
      <w:numPr>
        <w:numId w:val="22"/>
      </w:numPr>
      <w:spacing w:after="120" w:line="280" w:lineRule="atLeast"/>
      <w:contextualSpacing/>
    </w:pPr>
    <w:rPr>
      <w:sz w:val="22"/>
    </w:rPr>
  </w:style>
  <w:style w:type="paragraph" w:customStyle="1" w:styleId="Bulletpoint2">
    <w:name w:val="Bulletpoint 2"/>
    <w:basedOn w:val="Standard"/>
    <w:uiPriority w:val="5"/>
    <w:qFormat/>
    <w:rsid w:val="0044528F"/>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44528F"/>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0062A7" w:themeColor="text2"/>
        <w:bottom w:val="single" w:sz="2" w:space="0" w:color="0062A7" w:themeColor="text2"/>
        <w:right w:val="single" w:sz="2" w:space="0" w:color="0062A7" w:themeColor="text2"/>
        <w:insideH w:val="single" w:sz="2" w:space="0" w:color="0062A7" w:themeColor="text2"/>
        <w:insideV w:val="single" w:sz="2" w:space="0" w:color="0062A7" w:themeColor="text2"/>
      </w:tblBorders>
      <w:tblCellMar>
        <w:left w:w="85" w:type="dxa"/>
        <w:right w:w="85" w:type="dxa"/>
      </w:tblCellMar>
    </w:tblPr>
    <w:tblStylePr w:type="firstRow">
      <w:pPr>
        <w:wordWrap/>
        <w:spacing w:beforeLines="40" w:before="40" w:beforeAutospacing="0" w:afterLines="40" w:after="40" w:afterAutospacing="0"/>
      </w:pPr>
      <w:rPr>
        <w:b/>
        <w:color w:val="FFFFFF" w:themeColor="background1"/>
      </w:rPr>
      <w:tblPr/>
      <w:tcPr>
        <w:tcBorders>
          <w:top w:val="single" w:sz="2" w:space="0" w:color="FFFFFF" w:themeColor="background1"/>
          <w:left w:val="single" w:sz="2" w:space="0" w:color="0062A7" w:themeColor="text2"/>
          <w:bottom w:val="single" w:sz="2" w:space="0" w:color="FFFFFF" w:themeColor="background1"/>
          <w:right w:val="single" w:sz="2" w:space="0" w:color="0062A7" w:themeColor="text2"/>
          <w:insideH w:val="single" w:sz="2" w:space="0" w:color="FFFFFF" w:themeColor="background1"/>
          <w:insideV w:val="single" w:sz="2" w:space="0" w:color="FFFFFF" w:themeColor="background1"/>
          <w:tl2br w:val="nil"/>
          <w:tr2bl w:val="nil"/>
        </w:tcBorders>
        <w:shd w:val="clear" w:color="auto" w:fill="0062A7" w:themeFill="text2"/>
      </w:tcPr>
    </w:tblStylePr>
    <w:tblStylePr w:type="lastRow">
      <w:rPr>
        <w:b/>
      </w:rPr>
      <w:tblPr/>
      <w:tcPr>
        <w:tcBorders>
          <w:top w:val="single" w:sz="4" w:space="0" w:color="41535D" w:themeColor="text1"/>
          <w:bottom w:val="single" w:sz="4" w:space="0" w:color="41535D" w:themeColor="text1"/>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themeColor="text1"/>
      <w:szCs w:val="18"/>
    </w:rPr>
  </w:style>
  <w:style w:type="paragraph" w:styleId="Inhaltsverzeichnisberschrift">
    <w:name w:val="TOC Heading"/>
    <w:basedOn w:val="berschrift1"/>
    <w:next w:val="Standard"/>
    <w:uiPriority w:val="39"/>
    <w:qFormat/>
    <w:rsid w:val="00BD1058"/>
    <w:pPr>
      <w:spacing w:line="240" w:lineRule="auto"/>
      <w:outlineLvl w:val="9"/>
    </w:pPr>
    <w:rPr>
      <w:rFonts w:asciiTheme="majorHAnsi" w:hAnsiTheme="majorHAnsi"/>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basedOn w:val="Absatz-Standardschriftart"/>
    <w:uiPriority w:val="99"/>
    <w:unhideWhenUsed/>
    <w:rsid w:val="00BD1058"/>
    <w:rPr>
      <w:color w:val="41535D" w:themeColor="hyperlink"/>
      <w:u w:val="single"/>
    </w:rPr>
  </w:style>
  <w:style w:type="character" w:styleId="Platzhaltertext">
    <w:name w:val="Placeholder Text"/>
    <w:basedOn w:val="Absatz-Standardschriftart"/>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wmf"/></Relationships>
</file>

<file path=word/_rels/header2.xml.rels><?xml version="1.0" encoding="UTF-8" standalone="yes"?>
<Relationships xmlns="http://schemas.openxmlformats.org/package/2006/relationships"><Relationship Id="rId2" Type="http://schemas.openxmlformats.org/officeDocument/2006/relationships/image" Target="media/image12.wmf"/><Relationship Id="rId1" Type="http://schemas.openxmlformats.org/officeDocument/2006/relationships/image" Target="media/image11.wmf"/></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I:\Marketing\WIRTGEN\Werbung\Anzeigen\Redaktionelle%20Beitr&#228;ge\_Vorlagen\PR_BENNINGHOVEN_Vorlage.dotx" TargetMode="External"/></Relationships>
</file>

<file path=word/theme/theme1.xml><?xml version="1.0" encoding="utf-8"?>
<a:theme xmlns:a="http://schemas.openxmlformats.org/drawingml/2006/main" name="Office Theme">
  <a:themeElements>
    <a:clrScheme name="Wirtgen_Benninghoven">
      <a:dk1>
        <a:srgbClr val="41535D"/>
      </a:dk1>
      <a:lt1>
        <a:sysClr val="window" lastClr="FFFFFF"/>
      </a:lt1>
      <a:dk2>
        <a:srgbClr val="0062A7"/>
      </a:dk2>
      <a:lt2>
        <a:srgbClr val="ADB2B6"/>
      </a:lt2>
      <a:accent1>
        <a:srgbClr val="5C666F"/>
      </a:accent1>
      <a:accent2>
        <a:srgbClr val="7C848C"/>
      </a:accent2>
      <a:accent3>
        <a:srgbClr val="9DA3A8"/>
      </a:accent3>
      <a:accent4>
        <a:srgbClr val="BDC1C5"/>
      </a:accent4>
      <a:accent5>
        <a:srgbClr val="DEE0E2"/>
      </a:accent5>
      <a:accent6>
        <a:srgbClr val="EEEFF0"/>
      </a:accent6>
      <a:hlink>
        <a:srgbClr val="41535D"/>
      </a:hlink>
      <a:folHlink>
        <a:srgbClr val="9DA3A8"/>
      </a:folHlink>
    </a:clrScheme>
    <a:fontScheme name="Wirtgen">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tx2"/>
        </a:solidFill>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495021-B4FE-49E7-8315-2CF386F303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PR_BENNINGHOVEN_Vorlage.dotx</Template>
  <TotalTime>0</TotalTime>
  <Pages>6</Pages>
  <Words>1274</Words>
  <Characters>8027</Characters>
  <Application>Microsoft Office Word</Application>
  <DocSecurity>0</DocSecurity>
  <Lines>66</Lines>
  <Paragraphs>18</Paragraphs>
  <ScaleCrop>false</ScaleCrop>
  <HeadingPairs>
    <vt:vector size="2" baseType="variant">
      <vt:variant>
        <vt:lpstr>Titel</vt:lpstr>
      </vt:variant>
      <vt:variant>
        <vt:i4>1</vt:i4>
      </vt:variant>
    </vt:vector>
  </HeadingPairs>
  <TitlesOfParts>
    <vt:vector size="1" baseType="lpstr">
      <vt:lpstr/>
    </vt:vector>
  </TitlesOfParts>
  <Company>Wirtgen GmbH</Company>
  <LinksUpToDate>false</LinksUpToDate>
  <CharactersWithSpaces>9283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Anja.Schnur</dc:creator>
  <cp:lastModifiedBy>techtrans GmbH Weber Andreas</cp:lastModifiedBy>
  <cp:revision>29</cp:revision>
  <cp:lastPrinted>2018-05-23T06:33:00Z</cp:lastPrinted>
  <dcterms:created xsi:type="dcterms:W3CDTF">2018-05-30T05:46:00Z</dcterms:created>
  <dcterms:modified xsi:type="dcterms:W3CDTF">2019-01-07T07:43:00Z</dcterms:modified>
</cp:coreProperties>
</file>