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8736" w14:textId="5A8B81FD" w:rsidR="00A04650" w:rsidRPr="00561B91" w:rsidRDefault="007504F3" w:rsidP="008D0668">
      <w:pPr>
        <w:pStyle w:val="Head"/>
        <w:rPr>
          <w:b w:val="0"/>
          <w:bCs w:val="0"/>
          <w:sz w:val="22"/>
          <w:szCs w:val="22"/>
          <w:lang w:val="en-US"/>
        </w:rPr>
      </w:pPr>
      <w:r>
        <w:rPr>
          <w:lang w:val="pt-BR"/>
        </w:rPr>
        <w:t>Kleemann | Tratamento de andesito na Indonésia</w:t>
      </w:r>
    </w:p>
    <w:p w14:paraId="0F7877AC" w14:textId="7EC22389" w:rsidR="007504F3" w:rsidRPr="00946B25" w:rsidRDefault="008D0668" w:rsidP="007504F3">
      <w:pPr>
        <w:spacing w:after="220"/>
        <w:rPr>
          <w:rFonts w:eastAsiaTheme="majorEastAsia" w:cstheme="majorBidi"/>
          <w:b/>
          <w:iCs/>
          <w:sz w:val="28"/>
          <w:szCs w:val="28"/>
          <w:lang w:val="en-US"/>
        </w:rPr>
      </w:pPr>
      <w:r>
        <w:rPr>
          <w:rFonts w:eastAsiaTheme="majorEastAsia" w:cstheme="majorBidi"/>
          <w:b/>
          <w:bCs/>
          <w:sz w:val="28"/>
          <w:szCs w:val="28"/>
          <w:lang w:val="pt-BR"/>
        </w:rPr>
        <w:t xml:space="preserve">MOBICAT MC 120 PRO e MOBISCREEN MSS 802 EVO em aplicação especial em rocha natural </w:t>
      </w:r>
    </w:p>
    <w:p w14:paraId="472D2DA1" w14:textId="5FCC8384" w:rsidR="00F77A13" w:rsidRPr="00946B25" w:rsidRDefault="008D0668" w:rsidP="00E90566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 xml:space="preserve">Uma combinação de usinas Kleemann, composta por um britador de mandíbulas móvel e uma peneira de fragmentos grosseiros, trata o material para a expansão e reabilitação da infraestrutura de uma mina de lignito (carvão marrom) na Indonésia.  </w:t>
      </w:r>
    </w:p>
    <w:p w14:paraId="31EC094A" w14:textId="77777777" w:rsidR="00F77A13" w:rsidRPr="00946B25" w:rsidRDefault="00F77A13" w:rsidP="00E90566">
      <w:pPr>
        <w:spacing w:after="220"/>
        <w:contextualSpacing/>
        <w:jc w:val="both"/>
        <w:rPr>
          <w:b/>
          <w:bCs/>
          <w:sz w:val="22"/>
          <w:lang w:val="en-US"/>
        </w:rPr>
      </w:pPr>
    </w:p>
    <w:p w14:paraId="13ADBB13" w14:textId="79FC7C3E" w:rsidR="0090125B" w:rsidRPr="00946B25" w:rsidRDefault="008810E6" w:rsidP="00AB3522">
      <w:pPr>
        <w:jc w:val="both"/>
        <w:rPr>
          <w:sz w:val="22"/>
          <w:lang w:val="en-US"/>
        </w:rPr>
      </w:pPr>
      <w:r>
        <w:rPr>
          <w:sz w:val="22"/>
          <w:lang w:val="pt-BR"/>
        </w:rPr>
        <w:t xml:space="preserve">Um grande desafio da mineração é a localização do material em vários locais dentro da mina e as frequentes detonações. Portanto, um critério muito importante para a empresa operadora era que as unidades pudessem ser movidas com facilidade e flexibilidade. </w:t>
      </w:r>
    </w:p>
    <w:p w14:paraId="31C54CF6" w14:textId="77777777" w:rsidR="008810E6" w:rsidRPr="00946B25" w:rsidRDefault="008810E6" w:rsidP="0090125B">
      <w:pPr>
        <w:rPr>
          <w:b/>
          <w:bCs/>
          <w:sz w:val="22"/>
          <w:lang w:val="en-US"/>
        </w:rPr>
      </w:pPr>
    </w:p>
    <w:p w14:paraId="401D60E4" w14:textId="2B8F8EAA" w:rsidR="00F61557" w:rsidRPr="00946B25" w:rsidRDefault="00AB3522" w:rsidP="00AB3522">
      <w:pPr>
        <w:jc w:val="both"/>
        <w:rPr>
          <w:b/>
          <w:bCs/>
          <w:sz w:val="22"/>
          <w:lang w:val="en-US"/>
        </w:rPr>
      </w:pPr>
      <w:r>
        <w:rPr>
          <w:b/>
          <w:bCs/>
          <w:sz w:val="22"/>
          <w:lang w:val="pt-BR"/>
        </w:rPr>
        <w:t>Processo harmonioso - orientado para o futuro</w:t>
      </w:r>
    </w:p>
    <w:p w14:paraId="1FCFB641" w14:textId="58615871" w:rsidR="008810E6" w:rsidRPr="00946B25" w:rsidRDefault="008810E6" w:rsidP="008810E6">
      <w:pPr>
        <w:jc w:val="both"/>
        <w:rPr>
          <w:sz w:val="22"/>
          <w:lang w:val="en-US"/>
        </w:rPr>
      </w:pPr>
      <w:r>
        <w:rPr>
          <w:sz w:val="22"/>
          <w:lang w:val="pt-BR"/>
        </w:rPr>
        <w:t xml:space="preserve">O MOBICAT MC 120 PRO é utilizado como britador primário, enquanto a peneira móvel de fragmentos grosseiros MOBISCREEN MSS 802 EVO é posicionada a jusante e realiza o peneiramento do material. Os resultados iniciais mostram que as usinas móveis da Kleemann permitem processar a rocha de andesito sem nenhum problema. As máquinas também são adequadas para atender às exigências especiais das rochas vulcânicas. </w:t>
      </w:r>
    </w:p>
    <w:p w14:paraId="265AD6F6" w14:textId="77777777" w:rsidR="00AB3522" w:rsidRPr="00946B25" w:rsidRDefault="00AB3522" w:rsidP="008810E6">
      <w:pPr>
        <w:jc w:val="both"/>
        <w:rPr>
          <w:sz w:val="22"/>
          <w:lang w:val="en-US"/>
        </w:rPr>
      </w:pPr>
    </w:p>
    <w:p w14:paraId="6746E89A" w14:textId="7A616B91" w:rsidR="008810E6" w:rsidRPr="00946B25" w:rsidRDefault="008810E6" w:rsidP="008810E6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>Ambas são equipadas de modo que possam ser operadas por meio de uma fonte de alimentação externa – uma opção sustentável e orientada para o futuro. A infraestrutura para isso deve ser implementada em tempo hábil no futuro. Até lá, a empresa se beneficiará do baixo consumo de combustível da usina. “A possibilidade de operar as máquinas com eletricidade nos ajuda a progredir em termos de sustentabilidade. Contudo, se operarmos as máquinas com diesel, o consumo também será muito baixo”, destaca Aditya Maulana Bainal, engenheiro de vendas da operadora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>PT Bukit Asam Tbk.</w:t>
      </w:r>
    </w:p>
    <w:p w14:paraId="5E31760D" w14:textId="77777777" w:rsidR="0090125B" w:rsidRPr="00946B25" w:rsidRDefault="0090125B" w:rsidP="007504F3">
      <w:pPr>
        <w:jc w:val="both"/>
        <w:rPr>
          <w:b/>
          <w:bCs/>
          <w:sz w:val="22"/>
          <w:lang w:val="en-US"/>
        </w:rPr>
      </w:pPr>
    </w:p>
    <w:p w14:paraId="7C5CEFBA" w14:textId="44D822B1" w:rsidR="00F61557" w:rsidRPr="00946B25" w:rsidRDefault="00CC3A9F" w:rsidP="005C1688">
      <w:pPr>
        <w:jc w:val="both"/>
        <w:rPr>
          <w:b/>
          <w:bCs/>
          <w:sz w:val="22"/>
          <w:lang w:val="en-US"/>
        </w:rPr>
      </w:pPr>
      <w:r>
        <w:rPr>
          <w:b/>
          <w:bCs/>
          <w:sz w:val="22"/>
          <w:lang w:val="pt-BR"/>
        </w:rPr>
        <w:t>O equipamento da máquina garante eficiência e flexibilidade</w:t>
      </w:r>
    </w:p>
    <w:p w14:paraId="0C72699B" w14:textId="1069E878" w:rsidR="00F61557" w:rsidRDefault="00AB3522" w:rsidP="00F61557">
      <w:pPr>
        <w:jc w:val="both"/>
        <w:rPr>
          <w:sz w:val="22"/>
          <w:lang w:val="pt-BR"/>
        </w:rPr>
      </w:pPr>
      <w:r>
        <w:rPr>
          <w:sz w:val="22"/>
          <w:lang w:val="pt-BR"/>
        </w:rPr>
        <w:t xml:space="preserve">Muitos detalhes do britador de mandíbulas contribuem para a eficiência do processo. A extensão da tremonha, por exemplo, permite que quantidades maiores sejam coletadas e aumenta o volume de 10 para 13 metros cúbicos. A tremonha pode ser dobrada a partir do chão por controle remoto. Graças à peneira primária de deck duplo com oscilação independente, o material de alimentação pode ser peneirado com eficiência. Assim, o material fino é guiado para fora da câmara de trituração e descarregado pela correia transportadora de descarga lateral. A correia também é dobrável hidraulicamente e permanece na máquina durante o transporte. O bit para rochas, outra opção de equipamento do britador de mandíbulas, é capaz de triturar grandes blocos do material de alimentação diretamente na máquina antes de entrarem no britador. As pontes de material na transição da peneira primária para o britador </w:t>
      </w:r>
      <w:r>
        <w:rPr>
          <w:sz w:val="22"/>
          <w:szCs w:val="22"/>
          <w:lang w:val="pt-BR"/>
        </w:rPr>
        <w:t>podem ser facilmente removidas. Outra vantagem é que o bit para rochas permanece na máquina</w:t>
      </w:r>
      <w:r>
        <w:rPr>
          <w:sz w:val="22"/>
          <w:lang w:val="pt-BR"/>
        </w:rPr>
        <w:t xml:space="preserve"> durante o transporte. </w:t>
      </w:r>
    </w:p>
    <w:p w14:paraId="4E24185F" w14:textId="77777777" w:rsidR="00946B25" w:rsidRPr="00946B25" w:rsidRDefault="00946B25" w:rsidP="00F61557">
      <w:pPr>
        <w:jc w:val="both"/>
        <w:rPr>
          <w:sz w:val="22"/>
          <w:lang w:val="en-US"/>
        </w:rPr>
      </w:pPr>
    </w:p>
    <w:p w14:paraId="5DE5139F" w14:textId="77777777" w:rsidR="00AB3522" w:rsidRPr="00946B25" w:rsidRDefault="00AB3522" w:rsidP="00F61557">
      <w:pPr>
        <w:jc w:val="both"/>
        <w:rPr>
          <w:b/>
          <w:bCs/>
          <w:sz w:val="22"/>
          <w:lang w:val="en-US"/>
        </w:rPr>
      </w:pPr>
    </w:p>
    <w:p w14:paraId="6B09D574" w14:textId="470D31C5" w:rsidR="004250F4" w:rsidRPr="00946B25" w:rsidRDefault="004250F4" w:rsidP="00F61557">
      <w:pPr>
        <w:jc w:val="both"/>
        <w:rPr>
          <w:b/>
          <w:bCs/>
          <w:sz w:val="22"/>
          <w:lang w:val="en-US"/>
        </w:rPr>
      </w:pPr>
      <w:r>
        <w:rPr>
          <w:b/>
          <w:bCs/>
          <w:sz w:val="22"/>
          <w:lang w:val="pt-BR"/>
        </w:rPr>
        <w:lastRenderedPageBreak/>
        <w:t>Satisfação com a assistência técnica e o manuseio</w:t>
      </w:r>
    </w:p>
    <w:p w14:paraId="5D83492B" w14:textId="3A9F0CE6" w:rsidR="00E52DC8" w:rsidRPr="00946B25" w:rsidRDefault="00E52DC8" w:rsidP="00F61557">
      <w:pPr>
        <w:jc w:val="both"/>
        <w:rPr>
          <w:sz w:val="22"/>
          <w:lang w:val="en-US"/>
        </w:rPr>
      </w:pPr>
      <w:r>
        <w:rPr>
          <w:sz w:val="22"/>
          <w:lang w:val="pt-BR"/>
        </w:rPr>
        <w:t xml:space="preserve">Além do desempenho e das opções de equipamentos que garantem um ótimo processo de produção, um bom serviço de assistência no local também é essencial. Um técnico de serviço da Kleemann passou duas semanas no local para colocar as máquinas em funcionamento e instruir os profissionais envolvidos. Nesse sentido, foram conduzidas sessões de treinamento teórico, aplicações práticas e testes de funcionamento. </w:t>
      </w:r>
    </w:p>
    <w:p w14:paraId="159E24ED" w14:textId="77777777" w:rsidR="00E52DC8" w:rsidRPr="00946B25" w:rsidRDefault="00E52DC8" w:rsidP="00F61557">
      <w:pPr>
        <w:jc w:val="both"/>
        <w:rPr>
          <w:sz w:val="22"/>
          <w:lang w:val="en-US"/>
        </w:rPr>
      </w:pPr>
    </w:p>
    <w:p w14:paraId="6154F3F7" w14:textId="77777777" w:rsidR="00F61557" w:rsidRPr="00946B25" w:rsidRDefault="00F61557" w:rsidP="00F61557">
      <w:pPr>
        <w:jc w:val="both"/>
        <w:rPr>
          <w:sz w:val="22"/>
          <w:lang w:val="en-US"/>
        </w:rPr>
      </w:pPr>
    </w:p>
    <w:p w14:paraId="413D7BF3" w14:textId="009C29D1" w:rsidR="007504F3" w:rsidRPr="007504F3" w:rsidRDefault="007504F3" w:rsidP="007504F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6EC8F549" w14:textId="77777777" w:rsidR="007504F3" w:rsidRPr="007504F3" w:rsidRDefault="007504F3" w:rsidP="007504F3">
      <w:pPr>
        <w:rPr>
          <w:rFonts w:eastAsiaTheme="minorHAnsi" w:cstheme="minorBidi"/>
          <w:b/>
          <w:sz w:val="22"/>
          <w:szCs w:val="24"/>
        </w:rPr>
      </w:pPr>
    </w:p>
    <w:p w14:paraId="00262205" w14:textId="613B7106" w:rsidR="005C1688" w:rsidRPr="007504F3" w:rsidRDefault="00CC3A9F" w:rsidP="007504F3">
      <w:pPr>
        <w:rPr>
          <w:rFonts w:eastAsiaTheme="minorHAnsi" w:cstheme="minorBidi"/>
          <w:b/>
          <w:sz w:val="20"/>
          <w:szCs w:val="24"/>
        </w:rPr>
      </w:pPr>
      <w:r>
        <w:rPr>
          <w:noProof/>
          <w:lang w:val="pt-BR"/>
        </w:rPr>
        <w:drawing>
          <wp:inline distT="0" distB="0" distL="0" distR="0" wp14:anchorId="406BDF00" wp14:editId="050410B2">
            <wp:extent cx="1952625" cy="1463931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70" cy="147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49456" w14:textId="16F743B6" w:rsidR="007504F3" w:rsidRPr="00946B25" w:rsidRDefault="007504F3" w:rsidP="007504F3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pt-BR"/>
        </w:rPr>
        <w:t>Kleemann_MC 120 PRO_MSS 802_Indonesia_1</w:t>
      </w:r>
    </w:p>
    <w:p w14:paraId="276B60F0" w14:textId="57286137" w:rsidR="007504F3" w:rsidRPr="00946B25" w:rsidRDefault="00CC3A9F" w:rsidP="007504F3">
      <w:pPr>
        <w:spacing w:after="220"/>
        <w:jc w:val="both"/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pt-BR"/>
        </w:rPr>
        <w:t>Uma equipe bem entrosada: combinação de usinas interligadas composta pelo MOBICAT MC 120 PRO e pela MOBISCREEN MSS 802 EVO da Kleemann.</w:t>
      </w:r>
    </w:p>
    <w:p w14:paraId="1334F445" w14:textId="363F3656" w:rsidR="007504F3" w:rsidRPr="00946B25" w:rsidRDefault="009237C6" w:rsidP="007504F3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noProof/>
          <w:lang w:val="pt-BR"/>
        </w:rPr>
        <w:drawing>
          <wp:inline distT="0" distB="0" distL="0" distR="0" wp14:anchorId="321442BB" wp14:editId="19B6EF47">
            <wp:extent cx="1952625" cy="1463932"/>
            <wp:effectExtent l="0" t="0" r="0" b="3175"/>
            <wp:docPr id="827544448" name="Grafik 827544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947" cy="1475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4"/>
          <w:lang w:val="pt-BR"/>
        </w:rPr>
        <w:t xml:space="preserve"> </w:t>
      </w:r>
    </w:p>
    <w:p w14:paraId="69471A03" w14:textId="7618D935" w:rsidR="009237C6" w:rsidRPr="00946B25" w:rsidRDefault="009237C6" w:rsidP="009237C6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pt-BR"/>
        </w:rPr>
        <w:t>Kleemann_MC 120 PRO_MSS 802_Indonesia_2</w:t>
      </w:r>
    </w:p>
    <w:p w14:paraId="5B9C02BB" w14:textId="7A2CF98F" w:rsidR="0090125B" w:rsidRDefault="009237C6" w:rsidP="009641DA">
      <w:pPr>
        <w:spacing w:after="220"/>
        <w:jc w:val="both"/>
        <w:rPr>
          <w:rFonts w:eastAsiaTheme="minorHAnsi" w:cstheme="minorBidi"/>
          <w:sz w:val="20"/>
          <w:szCs w:val="20"/>
        </w:rPr>
      </w:pPr>
      <w:r>
        <w:rPr>
          <w:rFonts w:eastAsiaTheme="minorHAnsi" w:cstheme="minorBidi"/>
          <w:sz w:val="20"/>
          <w:szCs w:val="20"/>
          <w:lang w:val="pt-BR"/>
        </w:rPr>
        <w:t xml:space="preserve">Combinação de usinas Kleemann em rocha de andesito. </w:t>
      </w:r>
    </w:p>
    <w:p w14:paraId="2717446F" w14:textId="77777777" w:rsidR="0090125B" w:rsidRDefault="0090125B">
      <w:pPr>
        <w:rPr>
          <w:rFonts w:eastAsiaTheme="minorHAnsi" w:cstheme="minorBidi"/>
          <w:sz w:val="20"/>
          <w:szCs w:val="20"/>
        </w:rPr>
      </w:pPr>
    </w:p>
    <w:p w14:paraId="46CEEA0E" w14:textId="1BD94A35" w:rsidR="005C1688" w:rsidRDefault="009237C6">
      <w:pPr>
        <w:rPr>
          <w:rFonts w:eastAsiaTheme="minorHAnsi" w:cstheme="minorBidi"/>
          <w:sz w:val="20"/>
          <w:szCs w:val="20"/>
        </w:rPr>
      </w:pPr>
      <w:r>
        <w:rPr>
          <w:noProof/>
          <w:lang w:val="pt-BR"/>
        </w:rPr>
        <w:drawing>
          <wp:inline distT="0" distB="0" distL="0" distR="0" wp14:anchorId="7A009FD4" wp14:editId="1B8B888F">
            <wp:extent cx="1952625" cy="1463930"/>
            <wp:effectExtent l="0" t="0" r="0" b="3175"/>
            <wp:docPr id="324791683" name="Grafik 324791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912" cy="147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6856C" w14:textId="2D02F6A4" w:rsidR="002E55BA" w:rsidRPr="00946B25" w:rsidRDefault="002E55BA" w:rsidP="002E55BA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pt-BR"/>
        </w:rPr>
        <w:t>Kleemann_MC 120 PRO_MSS 802_Indonesia_3</w:t>
      </w:r>
    </w:p>
    <w:p w14:paraId="1C4B0FE4" w14:textId="06A6D6EF" w:rsidR="009641DA" w:rsidRPr="00946B25" w:rsidRDefault="009237C6">
      <w:pPr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pt-BR"/>
        </w:rPr>
        <w:t xml:space="preserve">Instrução prática e execução de testes diretamente no campo. </w:t>
      </w:r>
    </w:p>
    <w:p w14:paraId="641561F4" w14:textId="6839CDBC" w:rsidR="009641DA" w:rsidRPr="00946B25" w:rsidRDefault="009641DA" w:rsidP="009641DA">
      <w:pPr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highlight w:val="yellow"/>
          <w:lang w:val="pt-BR"/>
        </w:rPr>
        <w:br/>
      </w:r>
    </w:p>
    <w:p w14:paraId="40D3DAB8" w14:textId="72C6082C" w:rsidR="007504F3" w:rsidRPr="00946B25" w:rsidRDefault="007504F3" w:rsidP="007504F3">
      <w:pPr>
        <w:spacing w:before="220" w:after="440"/>
        <w:rPr>
          <w:rFonts w:eastAsiaTheme="minorHAnsi" w:cstheme="minorBidi"/>
          <w:i/>
          <w:color w:val="000000"/>
          <w:sz w:val="20"/>
          <w:szCs w:val="20"/>
          <w:lang w:val="en-US"/>
        </w:rPr>
      </w:pPr>
      <w:r>
        <w:rPr>
          <w:rFonts w:eastAsiaTheme="minorHAnsi" w:cstheme="minorBidi"/>
          <w:i/>
          <w:iCs/>
          <w:color w:val="000000"/>
          <w:sz w:val="20"/>
          <w:szCs w:val="20"/>
          <w:lang w:val="pt-BR"/>
        </w:rPr>
        <w:t>Observação: Essas fotos servem apenas para a visualização prévia. Para impressão nas publicações, devem ser utilizadas as fotos em resolução de 300 dpi, que são disponibilizadas no download anexo.</w:t>
      </w:r>
    </w:p>
    <w:p w14:paraId="69FEB596" w14:textId="53028CB9" w:rsidR="007504F3" w:rsidRPr="00946B25" w:rsidRDefault="007504F3" w:rsidP="007504F3">
      <w:pPr>
        <w:rPr>
          <w:rFonts w:eastAsiaTheme="minorHAnsi" w:cstheme="minorBidi"/>
          <w:b/>
          <w:iCs/>
          <w:sz w:val="22"/>
          <w:szCs w:val="24"/>
          <w:lang w:val="en-US"/>
        </w:rPr>
      </w:pPr>
      <w:r>
        <w:rPr>
          <w:rFonts w:eastAsiaTheme="minorHAnsi" w:cstheme="minorBidi"/>
          <w:b/>
          <w:bCs/>
          <w:sz w:val="22"/>
          <w:szCs w:val="24"/>
          <w:lang w:val="pt-BR"/>
        </w:rPr>
        <w:lastRenderedPageBreak/>
        <w:t>Para mais informações, entre em contato com:</w:t>
      </w:r>
    </w:p>
    <w:p w14:paraId="6B891BFF" w14:textId="77777777" w:rsidR="007504F3" w:rsidRPr="00946B25" w:rsidRDefault="007504F3" w:rsidP="007504F3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0604040B" w14:textId="77777777" w:rsidR="007504F3" w:rsidRPr="007504F3" w:rsidRDefault="007504F3" w:rsidP="007504F3">
      <w:pPr>
        <w:rPr>
          <w:rFonts w:eastAsiaTheme="minorHAnsi" w:cstheme="minorBidi"/>
          <w:bCs/>
          <w:sz w:val="22"/>
          <w:szCs w:val="22"/>
        </w:rPr>
      </w:pPr>
      <w:r>
        <w:rPr>
          <w:rFonts w:eastAsiaTheme="minorHAnsi" w:cstheme="minorBidi"/>
          <w:sz w:val="22"/>
          <w:szCs w:val="24"/>
          <w:lang w:val="pt-BR"/>
        </w:rPr>
        <w:t>WIRTGEN GROUP</w:t>
      </w:r>
    </w:p>
    <w:p w14:paraId="631BDDF4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pt-BR"/>
        </w:rPr>
        <w:t>Public Relations</w:t>
      </w:r>
    </w:p>
    <w:p w14:paraId="3F1ED02D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pt-BR"/>
        </w:rPr>
        <w:t>Reinhard-Wirtgen-Straße 2</w:t>
      </w:r>
    </w:p>
    <w:p w14:paraId="1C2535D3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pt-BR"/>
        </w:rPr>
        <w:t>53578 Windhagen</w:t>
      </w:r>
    </w:p>
    <w:p w14:paraId="5A8EB392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pt-BR"/>
        </w:rPr>
        <w:t>Alemanha</w:t>
      </w:r>
    </w:p>
    <w:p w14:paraId="2F8BD2AA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</w:p>
    <w:p w14:paraId="221D8971" w14:textId="71DA7F53" w:rsidR="007504F3" w:rsidRPr="00F262CA" w:rsidRDefault="007504F3" w:rsidP="007504F3">
      <w:pPr>
        <w:rPr>
          <w:rFonts w:ascii="Times New Roman" w:eastAsiaTheme="minorHAnsi" w:hAnsi="Times New Roman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pt-BR"/>
        </w:rPr>
        <w:t>Telefone: +49 (0) 2645 131 – 1966</w:t>
      </w:r>
    </w:p>
    <w:p w14:paraId="622E8B0A" w14:textId="77777777" w:rsidR="007504F3" w:rsidRPr="00F262CA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pt-BR"/>
        </w:rPr>
        <w:t>Fax: +49 (0) 2645 131 – 499</w:t>
      </w:r>
    </w:p>
    <w:p w14:paraId="2E98FA6A" w14:textId="0C13F74A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pt-BR"/>
        </w:rPr>
        <w:t>E-mail: PR@wirtgen-group.com</w:t>
      </w:r>
    </w:p>
    <w:p w14:paraId="2A29322A" w14:textId="46234E0B" w:rsidR="00B409DF" w:rsidRPr="0090125B" w:rsidRDefault="007504F3" w:rsidP="0090125B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B409DF" w:rsidRPr="0090125B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25095FC1" w:rsidR="000278CB" w:rsidRDefault="007504F3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AB2E80" wp14:editId="45B6383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0F520" w14:textId="6E6890A8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B2E80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20F520" w14:textId="6E6890A8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5F8F43C" w:rsidR="00533132" w:rsidRPr="00533132" w:rsidRDefault="007504F3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ABE75F1" wp14:editId="5076EEB5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608729" w14:textId="7D2E2E5F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E75F1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7608729" w14:textId="7D2E2E5F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354A18D" w:rsidR="00533132" w:rsidRDefault="007504F3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C699DB" wp14:editId="1739AE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92E20" w14:textId="2C7B5F5D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699D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2492E20" w14:textId="2C7B5F5D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94557916">
    <w:abstractNumId w:val="10"/>
  </w:num>
  <w:num w:numId="2" w16cid:durableId="908661252">
    <w:abstractNumId w:val="10"/>
  </w:num>
  <w:num w:numId="3" w16cid:durableId="1522009352">
    <w:abstractNumId w:val="10"/>
  </w:num>
  <w:num w:numId="4" w16cid:durableId="1777870210">
    <w:abstractNumId w:val="10"/>
  </w:num>
  <w:num w:numId="5" w16cid:durableId="1029532062">
    <w:abstractNumId w:val="10"/>
  </w:num>
  <w:num w:numId="6" w16cid:durableId="1426875070">
    <w:abstractNumId w:val="2"/>
  </w:num>
  <w:num w:numId="7" w16cid:durableId="1921450248">
    <w:abstractNumId w:val="2"/>
  </w:num>
  <w:num w:numId="8" w16cid:durableId="1898125561">
    <w:abstractNumId w:val="2"/>
  </w:num>
  <w:num w:numId="9" w16cid:durableId="1608468350">
    <w:abstractNumId w:val="2"/>
  </w:num>
  <w:num w:numId="10" w16cid:durableId="2081782612">
    <w:abstractNumId w:val="2"/>
  </w:num>
  <w:num w:numId="11" w16cid:durableId="502666121">
    <w:abstractNumId w:val="5"/>
  </w:num>
  <w:num w:numId="12" w16cid:durableId="1653370662">
    <w:abstractNumId w:val="5"/>
  </w:num>
  <w:num w:numId="13" w16cid:durableId="1004818568">
    <w:abstractNumId w:val="4"/>
  </w:num>
  <w:num w:numId="14" w16cid:durableId="362747687">
    <w:abstractNumId w:val="4"/>
  </w:num>
  <w:num w:numId="15" w16cid:durableId="323439770">
    <w:abstractNumId w:val="4"/>
  </w:num>
  <w:num w:numId="16" w16cid:durableId="538081209">
    <w:abstractNumId w:val="4"/>
  </w:num>
  <w:num w:numId="17" w16cid:durableId="1181747448">
    <w:abstractNumId w:val="4"/>
  </w:num>
  <w:num w:numId="18" w16cid:durableId="1033965028">
    <w:abstractNumId w:val="1"/>
  </w:num>
  <w:num w:numId="19" w16cid:durableId="1122924565">
    <w:abstractNumId w:val="3"/>
  </w:num>
  <w:num w:numId="20" w16cid:durableId="1482959910">
    <w:abstractNumId w:val="8"/>
  </w:num>
  <w:num w:numId="21" w16cid:durableId="14590322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5249193">
    <w:abstractNumId w:val="0"/>
  </w:num>
  <w:num w:numId="23" w16cid:durableId="172913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1573539">
    <w:abstractNumId w:val="7"/>
  </w:num>
  <w:num w:numId="25" w16cid:durableId="2278066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0684040">
    <w:abstractNumId w:val="6"/>
  </w:num>
  <w:num w:numId="27" w16cid:durableId="209268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71788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0F417B"/>
    <w:rsid w:val="000F66DF"/>
    <w:rsid w:val="000F7DFD"/>
    <w:rsid w:val="00103205"/>
    <w:rsid w:val="0011795C"/>
    <w:rsid w:val="0012026F"/>
    <w:rsid w:val="00130601"/>
    <w:rsid w:val="00132055"/>
    <w:rsid w:val="001417FA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966C4"/>
    <w:rsid w:val="001B16BB"/>
    <w:rsid w:val="001B34EE"/>
    <w:rsid w:val="001C1A3E"/>
    <w:rsid w:val="001F359E"/>
    <w:rsid w:val="00200355"/>
    <w:rsid w:val="0021351D"/>
    <w:rsid w:val="00253A2E"/>
    <w:rsid w:val="002603EC"/>
    <w:rsid w:val="00276375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44D3"/>
    <w:rsid w:val="002E55BA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03D0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50F4"/>
    <w:rsid w:val="00430BB0"/>
    <w:rsid w:val="00467F3C"/>
    <w:rsid w:val="0047498D"/>
    <w:rsid w:val="00475E06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7E40"/>
    <w:rsid w:val="00506409"/>
    <w:rsid w:val="0052124E"/>
    <w:rsid w:val="0052548C"/>
    <w:rsid w:val="00530E32"/>
    <w:rsid w:val="00533132"/>
    <w:rsid w:val="00534889"/>
    <w:rsid w:val="00537210"/>
    <w:rsid w:val="00541C9E"/>
    <w:rsid w:val="005540B0"/>
    <w:rsid w:val="00561B91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168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2586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40BCE"/>
    <w:rsid w:val="007504D7"/>
    <w:rsid w:val="007504F3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4D2C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0E6"/>
    <w:rsid w:val="00881E44"/>
    <w:rsid w:val="008858E6"/>
    <w:rsid w:val="00892F6F"/>
    <w:rsid w:val="00896F7E"/>
    <w:rsid w:val="008B1EB7"/>
    <w:rsid w:val="008C2A29"/>
    <w:rsid w:val="008C2DB2"/>
    <w:rsid w:val="008D0668"/>
    <w:rsid w:val="008D26D8"/>
    <w:rsid w:val="008D4365"/>
    <w:rsid w:val="008D770E"/>
    <w:rsid w:val="008F491C"/>
    <w:rsid w:val="008F7BB7"/>
    <w:rsid w:val="0090125B"/>
    <w:rsid w:val="00902181"/>
    <w:rsid w:val="0090337E"/>
    <w:rsid w:val="009049D8"/>
    <w:rsid w:val="00910609"/>
    <w:rsid w:val="009125E2"/>
    <w:rsid w:val="00915841"/>
    <w:rsid w:val="00922098"/>
    <w:rsid w:val="009237C6"/>
    <w:rsid w:val="009328FA"/>
    <w:rsid w:val="00936A78"/>
    <w:rsid w:val="009375E1"/>
    <w:rsid w:val="00946B25"/>
    <w:rsid w:val="00952853"/>
    <w:rsid w:val="0096282B"/>
    <w:rsid w:val="009641DA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668C"/>
    <w:rsid w:val="009C73BF"/>
    <w:rsid w:val="009D016F"/>
    <w:rsid w:val="009E251D"/>
    <w:rsid w:val="009F0ABD"/>
    <w:rsid w:val="009F10A8"/>
    <w:rsid w:val="009F715C"/>
    <w:rsid w:val="00A01ABA"/>
    <w:rsid w:val="00A02F49"/>
    <w:rsid w:val="00A04650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3522"/>
    <w:rsid w:val="00AB52F9"/>
    <w:rsid w:val="00AC3138"/>
    <w:rsid w:val="00AC53EF"/>
    <w:rsid w:val="00AC6F42"/>
    <w:rsid w:val="00AD131F"/>
    <w:rsid w:val="00AD32D5"/>
    <w:rsid w:val="00AD70E4"/>
    <w:rsid w:val="00AF1751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452F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86589"/>
    <w:rsid w:val="00C96E9F"/>
    <w:rsid w:val="00CA35E3"/>
    <w:rsid w:val="00CA4A09"/>
    <w:rsid w:val="00CA4F06"/>
    <w:rsid w:val="00CB4D45"/>
    <w:rsid w:val="00CC3A9F"/>
    <w:rsid w:val="00CC5A63"/>
    <w:rsid w:val="00CC6C7C"/>
    <w:rsid w:val="00CC787C"/>
    <w:rsid w:val="00CF36C9"/>
    <w:rsid w:val="00D00EC4"/>
    <w:rsid w:val="00D164C8"/>
    <w:rsid w:val="00D166AC"/>
    <w:rsid w:val="00D16C4C"/>
    <w:rsid w:val="00D26E87"/>
    <w:rsid w:val="00D36BA2"/>
    <w:rsid w:val="00D37CF4"/>
    <w:rsid w:val="00D4487C"/>
    <w:rsid w:val="00D63D33"/>
    <w:rsid w:val="00D64DD0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14AD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2DC8"/>
    <w:rsid w:val="00E55534"/>
    <w:rsid w:val="00E565DC"/>
    <w:rsid w:val="00E62385"/>
    <w:rsid w:val="00E7116D"/>
    <w:rsid w:val="00E72429"/>
    <w:rsid w:val="00E83680"/>
    <w:rsid w:val="00E90566"/>
    <w:rsid w:val="00E914D1"/>
    <w:rsid w:val="00E960D8"/>
    <w:rsid w:val="00EA4B58"/>
    <w:rsid w:val="00EB0F6E"/>
    <w:rsid w:val="00EB488E"/>
    <w:rsid w:val="00EB5FCA"/>
    <w:rsid w:val="00ED7F68"/>
    <w:rsid w:val="00EF2575"/>
    <w:rsid w:val="00EF5828"/>
    <w:rsid w:val="00EF7420"/>
    <w:rsid w:val="00F02BCD"/>
    <w:rsid w:val="00F048D4"/>
    <w:rsid w:val="00F207FE"/>
    <w:rsid w:val="00F20920"/>
    <w:rsid w:val="00F23212"/>
    <w:rsid w:val="00F262CA"/>
    <w:rsid w:val="00F33B16"/>
    <w:rsid w:val="00F353EA"/>
    <w:rsid w:val="00F36C27"/>
    <w:rsid w:val="00F56318"/>
    <w:rsid w:val="00F61557"/>
    <w:rsid w:val="00F67C95"/>
    <w:rsid w:val="00F74540"/>
    <w:rsid w:val="00F75B79"/>
    <w:rsid w:val="00F772A0"/>
    <w:rsid w:val="00F77A13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55BA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F175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D93F-7A30-4550-B9BA-DF22CAA2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550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4011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4</cp:revision>
  <cp:lastPrinted>2024-02-05T09:48:00Z</cp:lastPrinted>
  <dcterms:created xsi:type="dcterms:W3CDTF">2024-09-23T14:52:00Z</dcterms:created>
  <dcterms:modified xsi:type="dcterms:W3CDTF">2024-10-09T11:28:00Z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8,b,f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2023-10-10T13:59:08Z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1546f44a-bae2-494d-b65e-63cf76e9b52a</vt:lpwstr>
  </property>
  <property fmtid="{D5CDD505-2E9C-101B-9397-08002B2CF9AE}" pid="11" name="MSIP_Label_df1a195f-122b-42dc-a2d3-71a1903dcdac_ContentBits">
    <vt:lpwstr>1</vt:lpwstr>
  </property>
</Properties>
</file>