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B8736" w14:textId="5A8B81FD" w:rsidR="00A04650" w:rsidRPr="00A04650" w:rsidRDefault="007504F3" w:rsidP="008D0668">
      <w:pPr>
        <w:pStyle w:val="Head"/>
        <w:rPr>
          <w:b w:val="0"/>
          <w:bCs w:val="0"/>
          <w:sz w:val="22"/>
          <w:szCs w:val="22"/>
        </w:rPr>
        <w:bidi w:val="0"/>
      </w:pPr>
      <w:r>
        <w:rPr>
          <w:lang w:val="it-it"/>
          <w:b w:val="1"/>
          <w:bCs w:val="1"/>
          <w:i w:val="0"/>
          <w:iCs w:val="0"/>
          <w:u w:val="none"/>
          <w:vertAlign w:val="baseline"/>
          <w:rtl w:val="0"/>
        </w:rPr>
        <w:t xml:space="preserve">Kleemann | Trattamento dell’andesite in Indonesia</w:t>
      </w:r>
    </w:p>
    <w:p w14:paraId="0F7877AC" w14:textId="7EC22389" w:rsidR="007504F3" w:rsidRPr="00B7452F" w:rsidRDefault="008D0668" w:rsidP="007504F3">
      <w:pPr>
        <w:spacing w:after="220"/>
        <w:rPr>
          <w:rFonts w:eastAsiaTheme="majorEastAsia" w:cstheme="majorBidi"/>
          <w:b/>
          <w:iCs/>
          <w:sz w:val="28"/>
          <w:szCs w:val="28"/>
        </w:rPr>
        <w:bidi w:val="0"/>
      </w:pPr>
      <w:r>
        <w:rPr>
          <w:rFonts w:cstheme="majorBidi" w:eastAsiaTheme="majorEastAsia"/>
          <w:sz w:val="28"/>
          <w:szCs w:val="28"/>
          <w:lang w:val="it-it"/>
          <w:b w:val="1"/>
          <w:bCs w:val="1"/>
          <w:i w:val="0"/>
          <w:iCs w:val="0"/>
          <w:u w:val="none"/>
          <w:vertAlign w:val="baseline"/>
          <w:rtl w:val="0"/>
        </w:rPr>
        <w:t xml:space="preserve">MOBICAT MC 120 PRO e MOBISCREEN MSS 802 EVO in uno speciale intervento con la pietra naturale </w:t>
      </w:r>
    </w:p>
    <w:p w14:paraId="472D2DA1" w14:textId="5FCC8384" w:rsidR="00F77A13" w:rsidRPr="008D0668" w:rsidRDefault="008D0668" w:rsidP="00E90566">
      <w:pPr>
        <w:jc w:val="both"/>
        <w:rPr>
          <w:b/>
          <w:bCs/>
          <w:sz w:val="22"/>
          <w:szCs w:val="22"/>
        </w:rPr>
        <w:bidi w:val="0"/>
      </w:pPr>
      <w:r>
        <w:rPr>
          <w:sz w:val="22"/>
          <w:szCs w:val="22"/>
          <w:lang w:val="it-it"/>
          <w:b w:val="1"/>
          <w:bCs w:val="1"/>
          <w:i w:val="0"/>
          <w:iCs w:val="0"/>
          <w:u w:val="none"/>
          <w:vertAlign w:val="baseline"/>
          <w:rtl w:val="0"/>
        </w:rPr>
        <w:t xml:space="preserve">Un treno di macchine Kleemann composto da un frantoio a mascelle mobile e da un impianto di vagliatura grossolana tratta il materiale per l’ampliamento e il risanamento dell’infrastruttura di una miniera di lignite in Indonesia.  </w:t>
      </w:r>
    </w:p>
    <w:p w14:paraId="31EC094A" w14:textId="77777777" w:rsidR="00F77A13" w:rsidRDefault="00F77A13" w:rsidP="00E90566">
      <w:pPr>
        <w:spacing w:after="220"/>
        <w:contextualSpacing/>
        <w:jc w:val="both"/>
        <w:rPr>
          <w:b/>
          <w:bCs/>
          <w:sz w:val="22"/>
        </w:rPr>
      </w:pPr>
    </w:p>
    <w:p w14:paraId="13ADBB13" w14:textId="79FC7C3E" w:rsidR="0090125B" w:rsidRDefault="008810E6" w:rsidP="00AB3522">
      <w:pPr>
        <w:jc w:val="both"/>
        <w:rPr>
          <w:sz w:val="22"/>
        </w:rPr>
        <w:bidi w:val="0"/>
      </w:pPr>
      <w:r>
        <w:rPr>
          <w:sz w:val="22"/>
          <w:lang w:val="it-it"/>
          <w:b w:val="0"/>
          <w:bCs w:val="0"/>
          <w:i w:val="0"/>
          <w:iCs w:val="0"/>
          <w:u w:val="none"/>
          <w:vertAlign w:val="baseline"/>
          <w:rtl w:val="0"/>
        </w:rPr>
        <w:t xml:space="preserve">Una grande sfida per l’estrazione è costituita dall’ubicazione del materiale in diverse posizioni all’interno della miniera e dai frequenti brillamenti. Per l’impresa di gestione era pertanto molto importante che gli impianti potessero essere spostati in modo semplice e flessibile. </w:t>
      </w:r>
    </w:p>
    <w:p w14:paraId="31C54CF6" w14:textId="77777777" w:rsidR="008810E6" w:rsidRPr="00D26E87" w:rsidRDefault="008810E6" w:rsidP="0090125B">
      <w:pPr>
        <w:rPr>
          <w:b/>
          <w:bCs/>
          <w:sz w:val="22"/>
        </w:rPr>
      </w:pPr>
    </w:p>
    <w:p w14:paraId="401D60E4" w14:textId="2B8F8EAA" w:rsidR="00F61557" w:rsidRPr="00AB3522" w:rsidRDefault="00AB3522" w:rsidP="00AB3522">
      <w:pPr>
        <w:jc w:val="both"/>
        <w:rPr>
          <w:b/>
          <w:bCs/>
          <w:sz w:val="22"/>
        </w:rPr>
        <w:bidi w:val="0"/>
      </w:pPr>
      <w:r>
        <w:rPr>
          <w:sz w:val="22"/>
          <w:lang w:val="it-it"/>
          <w:b w:val="1"/>
          <w:bCs w:val="1"/>
          <w:i w:val="0"/>
          <w:iCs w:val="0"/>
          <w:u w:val="none"/>
          <w:vertAlign w:val="baseline"/>
          <w:rtl w:val="0"/>
        </w:rPr>
        <w:t xml:space="preserve">Processo impeccabile - orientato al futuro</w:t>
      </w:r>
    </w:p>
    <w:p w14:paraId="1FCFB641" w14:textId="58615871" w:rsidR="008810E6" w:rsidRDefault="008810E6" w:rsidP="008810E6">
      <w:pPr>
        <w:jc w:val="both"/>
        <w:rPr>
          <w:sz w:val="22"/>
        </w:rPr>
        <w:bidi w:val="0"/>
      </w:pPr>
      <w:r>
        <w:rPr>
          <w:sz w:val="22"/>
          <w:lang w:val="it-it"/>
          <w:b w:val="0"/>
          <w:bCs w:val="0"/>
          <w:i w:val="0"/>
          <w:iCs w:val="0"/>
          <w:u w:val="none"/>
          <w:vertAlign w:val="baseline"/>
          <w:rtl w:val="0"/>
        </w:rPr>
        <w:t xml:space="preserve">Il MOBICAT MC 120 PRO viene impiegato quale frantoio a monte, mentre l’impianto di vagliatura grossolana MOBISCREEN MSS 802 EVO è posizionato a valle e garantisce la setacciatura del materiale. I primi risultati dimostrano che gli impianti mobili Kleemann permettono una lavorazione impeccabile dell’andesite. In questo contesto, le macchine sono in grado di affrontare anche gli speciali requisiti della roccia vulcanica. </w:t>
      </w:r>
    </w:p>
    <w:p w14:paraId="265AD6F6" w14:textId="77777777" w:rsidR="00AB3522" w:rsidRPr="008810E6" w:rsidRDefault="00AB3522" w:rsidP="008810E6">
      <w:pPr>
        <w:jc w:val="both"/>
        <w:rPr>
          <w:sz w:val="22"/>
        </w:rPr>
      </w:pPr>
    </w:p>
    <w:p w14:paraId="6746E89A" w14:textId="7A616B91" w:rsidR="008810E6" w:rsidRPr="00AB3522" w:rsidRDefault="008810E6" w:rsidP="008810E6">
      <w:pPr>
        <w:jc w:val="both"/>
        <w:rPr>
          <w:sz w:val="22"/>
          <w:szCs w:val="22"/>
        </w:rPr>
        <w:bidi w:val="0"/>
      </w:pPr>
      <w:r>
        <w:rPr>
          <w:sz w:val="22"/>
          <w:szCs w:val="22"/>
          <w:lang w:val="it-it"/>
          <w:b w:val="0"/>
          <w:bCs w:val="0"/>
          <w:i w:val="0"/>
          <w:iCs w:val="0"/>
          <w:u w:val="none"/>
          <w:vertAlign w:val="baseline"/>
          <w:rtl w:val="0"/>
        </w:rPr>
        <w:t xml:space="preserve">Entrambe le macchine sono equipaggiate in modo tale da poter essere alimentate da un’alimentazione elettrica esterna - un’opzione sostenibile e a prova di futuro. La relativa infrastruttura dovrebbe essere realizzata entro breve tempo. Nel frattempo, l’impresa approfitterà del basso consumo di carburante dell’impianto. “La possibilità di azionare le macchine con l’elettricità ci fa progredire in fatto di sostenibilità. Anche se azioniamo le macchine a gasolio, il consumo è comunque molto ridotto”, sottolinea Aditya Maulana Bainal, ingegnere di vendita presso il gestore</w:t>
      </w:r>
      <w:r>
        <w:rPr>
          <w:lang w:val="it-it"/>
          <w:b w:val="0"/>
          <w:bCs w:val="0"/>
          <w:i w:val="0"/>
          <w:iCs w:val="0"/>
          <w:u w:val="none"/>
          <w:vertAlign w:val="baseline"/>
          <w:rtl w:val="0"/>
        </w:rPr>
        <w:t xml:space="preserve"> </w:t>
      </w:r>
      <w:r>
        <w:rPr>
          <w:sz w:val="22"/>
          <w:szCs w:val="22"/>
          <w:lang w:val="it-it"/>
          <w:b w:val="0"/>
          <w:bCs w:val="0"/>
          <w:i w:val="0"/>
          <w:iCs w:val="0"/>
          <w:u w:val="none"/>
          <w:vertAlign w:val="baseline"/>
          <w:rtl w:val="0"/>
        </w:rPr>
        <w:t xml:space="preserve">PT Bukit Asam Tbk.</w:t>
      </w:r>
    </w:p>
    <w:p w14:paraId="5E31760D" w14:textId="77777777" w:rsidR="0090125B" w:rsidRPr="00D26E87" w:rsidRDefault="0090125B" w:rsidP="007504F3">
      <w:pPr>
        <w:jc w:val="both"/>
        <w:rPr>
          <w:b/>
          <w:bCs/>
          <w:sz w:val="22"/>
        </w:rPr>
      </w:pPr>
    </w:p>
    <w:p w14:paraId="7C5CEFBA" w14:textId="44D822B1" w:rsidR="00F61557" w:rsidRDefault="00CC3A9F" w:rsidP="005C1688">
      <w:pPr>
        <w:jc w:val="both"/>
        <w:rPr>
          <w:b/>
          <w:bCs/>
          <w:sz w:val="22"/>
        </w:rPr>
        <w:bidi w:val="0"/>
      </w:pPr>
      <w:r>
        <w:rPr>
          <w:sz w:val="22"/>
          <w:lang w:val="it-it"/>
          <w:b w:val="1"/>
          <w:bCs w:val="1"/>
          <w:i w:val="0"/>
          <w:iCs w:val="0"/>
          <w:u w:val="none"/>
          <w:vertAlign w:val="baseline"/>
          <w:rtl w:val="0"/>
        </w:rPr>
        <w:t xml:space="preserve">La dotazione delle macchine garantisce efficienza e flessibilità</w:t>
      </w:r>
    </w:p>
    <w:p w14:paraId="0C72699B" w14:textId="1069E878" w:rsidR="00F61557" w:rsidRDefault="00AB3522" w:rsidP="00F61557">
      <w:pPr>
        <w:jc w:val="both"/>
        <w:rPr>
          <w:sz w:val="22"/>
        </w:rPr>
        <w:bidi w:val="0"/>
      </w:pPr>
      <w:r>
        <w:rPr>
          <w:sz w:val="22"/>
          <w:lang w:val="it-it"/>
          <w:b w:val="0"/>
          <w:bCs w:val="0"/>
          <w:i w:val="0"/>
          <w:iCs w:val="0"/>
          <w:u w:val="none"/>
          <w:vertAlign w:val="baseline"/>
          <w:rtl w:val="0"/>
        </w:rPr>
        <w:t xml:space="preserve">Molti dettagli del frantoio a mascelle vanno a vantaggio della lavorazione efficiente. L’estensione della tramoggia, ad esempio, permette di caricare quantità maggiori ed aumenta il volume della tramoggia da 10 a 13 metri cubi. La tramoggia può essere azionata da terra tramite comando a distanza. Grazie al prevaglio oscillante in modo indipendente, il materiale di alimentazione può essere vagliato in modo efficace. In questo modo il materiale fine può essere convogliato oltre la camera di frantumazione e scaricato attraverso il nastro di scarico laterale. Il nastro è a sua volta ribaltabile idraulicamente e può rimanere sulla macchina durante il trasporto. Lo scalpello da roccia, un’ulteriore opzione di dotazione del frantoio a mascelle, è in grado di frantumare i blocchi più grandi nel materiale di alimentazione direttamente presso la macchina, prima che arrivino al frantoio. Gli intasamenti di materiale nel passaggio dal prevaglio al frantoio </w:t>
      </w:r>
      <w:r>
        <w:rPr>
          <w:sz w:val="22"/>
          <w:szCs w:val="22"/>
          <w:lang w:val="it-it"/>
          <w:b w:val="0"/>
          <w:bCs w:val="0"/>
          <w:i w:val="0"/>
          <w:iCs w:val="0"/>
          <w:u w:val="none"/>
          <w:vertAlign w:val="baseline"/>
          <w:rtl w:val="0"/>
        </w:rPr>
        <w:t xml:space="preserve">possono essere rimossi facilmente. Il fatto che lo scalpello da roccia rimanga sulla macchina anche durante il trasporto</w:t>
      </w:r>
      <w:r>
        <w:rPr>
          <w:sz w:val="22"/>
          <w:lang w:val="it-it"/>
          <w:b w:val="0"/>
          <w:bCs w:val="0"/>
          <w:i w:val="0"/>
          <w:iCs w:val="0"/>
          <w:u w:val="none"/>
          <w:vertAlign w:val="baseline"/>
          <w:rtl w:val="0"/>
        </w:rPr>
        <w:t xml:space="preserve"> rappresenta un ulteriore vantaggio. </w:t>
      </w:r>
    </w:p>
    <w:p w14:paraId="5DE5139F" w14:textId="77777777" w:rsidR="00AB3522" w:rsidRDefault="00AB3522" w:rsidP="00F61557">
      <w:pPr>
        <w:jc w:val="both"/>
        <w:rPr>
          <w:b/>
          <w:bCs/>
          <w:sz w:val="22"/>
        </w:rPr>
      </w:pPr>
    </w:p>
    <w:p w14:paraId="6B09D574" w14:textId="470D31C5" w:rsidR="004250F4" w:rsidRPr="004250F4" w:rsidRDefault="004250F4" w:rsidP="00F61557">
      <w:pPr>
        <w:jc w:val="both"/>
        <w:rPr>
          <w:b/>
          <w:bCs/>
          <w:sz w:val="22"/>
        </w:rPr>
        <w:bidi w:val="0"/>
      </w:pPr>
      <w:r>
        <w:rPr>
          <w:sz w:val="22"/>
          <w:lang w:val="it-it"/>
          <w:b w:val="1"/>
          <w:bCs w:val="1"/>
          <w:i w:val="0"/>
          <w:iCs w:val="0"/>
          <w:u w:val="none"/>
          <w:vertAlign w:val="baseline"/>
          <w:rtl w:val="0"/>
        </w:rPr>
        <w:t xml:space="preserve">Assistenza e gestione soddisfacenti</w:t>
      </w:r>
    </w:p>
    <w:p w14:paraId="5D83492B" w14:textId="3A9F0CE6" w:rsidR="00E52DC8" w:rsidRDefault="00E52DC8" w:rsidP="00F61557">
      <w:pPr>
        <w:jc w:val="both"/>
        <w:rPr>
          <w:sz w:val="22"/>
        </w:rPr>
        <w:bidi w:val="0"/>
      </w:pPr>
      <w:r>
        <w:rPr>
          <w:sz w:val="22"/>
          <w:lang w:val="it-it"/>
          <w:b w:val="0"/>
          <w:bCs w:val="0"/>
          <w:i w:val="0"/>
          <w:iCs w:val="0"/>
          <w:u w:val="none"/>
          <w:vertAlign w:val="baseline"/>
          <w:rtl w:val="0"/>
        </w:rPr>
        <w:t xml:space="preserve">Oltre alla performance e alle opzioni di dotazione, che garantiscono un buon processo di produzione, anche una buona consulenza sul posto è decisiva. Un tecnico di servizio Kleemann ha passato due settimane sul posto, per mettere in funzione le macchine e per istruire il personale locale. In questo contesto sono stati organizzati sia dei corsi teorici sia anche delle applicazioni pratiche e delle prove sul campo. </w:t>
      </w:r>
    </w:p>
    <w:p w14:paraId="159E24ED" w14:textId="77777777" w:rsidR="00E52DC8" w:rsidRDefault="00E52DC8" w:rsidP="00F61557">
      <w:pPr>
        <w:jc w:val="both"/>
        <w:rPr>
          <w:sz w:val="22"/>
        </w:rPr>
      </w:pPr>
    </w:p>
    <w:p w14:paraId="6154F3F7" w14:textId="77777777" w:rsidR="00F61557" w:rsidRDefault="00F61557" w:rsidP="00F61557">
      <w:pPr>
        <w:jc w:val="both"/>
        <w:rPr>
          <w:sz w:val="22"/>
        </w:rPr>
      </w:pPr>
    </w:p>
    <w:p w14:paraId="413D7BF3" w14:textId="009C29D1" w:rsidR="007504F3" w:rsidRPr="007504F3" w:rsidRDefault="007504F3" w:rsidP="007504F3">
      <w:pPr>
        <w:rPr>
          <w:b/>
          <w:bCs/>
          <w:sz w:val="22"/>
          <w:szCs w:val="22"/>
        </w:rPr>
        <w:bidi w:val="0"/>
      </w:pPr>
      <w:r>
        <w:rPr>
          <w:sz w:val="22"/>
          <w:szCs w:val="22"/>
          <w:lang w:val="it-it"/>
          <w:b w:val="1"/>
          <w:bCs w:val="1"/>
          <w:i w:val="0"/>
          <w:iCs w:val="0"/>
          <w:u w:val="none"/>
          <w:vertAlign w:val="baseline"/>
          <w:rtl w:val="0"/>
        </w:rPr>
        <w:t xml:space="preserve">Foto:</w:t>
      </w:r>
    </w:p>
    <w:p w14:paraId="6EC8F549" w14:textId="77777777" w:rsidR="007504F3" w:rsidRPr="007504F3" w:rsidRDefault="007504F3" w:rsidP="007504F3">
      <w:pPr>
        <w:rPr>
          <w:rFonts w:eastAsiaTheme="minorHAnsi" w:cstheme="minorBidi"/>
          <w:b/>
          <w:sz w:val="22"/>
          <w:szCs w:val="24"/>
        </w:rPr>
      </w:pPr>
    </w:p>
    <w:p w14:paraId="00262205" w14:textId="613B7106" w:rsidR="005C1688" w:rsidRPr="007504F3" w:rsidRDefault="00CC3A9F" w:rsidP="007504F3">
      <w:pPr>
        <w:rPr>
          <w:rFonts w:eastAsiaTheme="minorHAnsi" w:cstheme="minorBidi"/>
          <w:b/>
          <w:sz w:val="20"/>
          <w:szCs w:val="24"/>
        </w:rPr>
        <w:bidi w:val="0"/>
      </w:pPr>
      <w:r>
        <w:rPr>
          <w:noProof/>
          <w:lang w:val="it-it"/>
          <w:b w:val="0"/>
          <w:bCs w:val="0"/>
          <w:i w:val="0"/>
          <w:iCs w:val="0"/>
          <w:u w:val="none"/>
          <w:vertAlign w:val="baseline"/>
          <w:rtl w:val="0"/>
        </w:rPr>
        <w:drawing>
          <wp:inline distT="0" distB="0" distL="0" distR="0" wp14:anchorId="406BDF00" wp14:editId="050410B2">
            <wp:extent cx="1952625" cy="1463931"/>
            <wp:effectExtent l="0" t="0" r="0" b="317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967170" cy="1474836"/>
                    </a:xfrm>
                    <a:prstGeom prst="rect">
                      <a:avLst/>
                    </a:prstGeom>
                    <a:noFill/>
                    <a:ln>
                      <a:noFill/>
                    </a:ln>
                  </pic:spPr>
                </pic:pic>
              </a:graphicData>
            </a:graphic>
          </wp:inline>
        </w:drawing>
      </w:r>
    </w:p>
    <w:p w14:paraId="24749456" w14:textId="16F743B6" w:rsidR="007504F3" w:rsidRPr="00276375" w:rsidRDefault="007504F3" w:rsidP="007504F3">
      <w:pPr>
        <w:rPr>
          <w:rFonts w:eastAsiaTheme="minorHAnsi" w:cstheme="minorBidi"/>
          <w:b/>
          <w:sz w:val="20"/>
          <w:szCs w:val="24"/>
        </w:rPr>
        <w:bidi w:val="0"/>
      </w:pPr>
      <w:r>
        <w:rPr>
          <w:rFonts w:cstheme="minorBidi" w:eastAsiaTheme="minorHAnsi"/>
          <w:sz w:val="20"/>
          <w:szCs w:val="24"/>
          <w:lang w:val="it-it"/>
          <w:b w:val="1"/>
          <w:bCs w:val="1"/>
          <w:i w:val="0"/>
          <w:iCs w:val="0"/>
          <w:u w:val="none"/>
          <w:vertAlign w:val="baseline"/>
          <w:rtl w:val="0"/>
        </w:rPr>
        <w:t xml:space="preserve">Kleemann_MC 120 PRO_MSS 802_Indonesia_1</w:t>
      </w:r>
    </w:p>
    <w:p w14:paraId="276B60F0" w14:textId="57286137" w:rsidR="007504F3" w:rsidRPr="007504F3" w:rsidRDefault="00CC3A9F" w:rsidP="007504F3">
      <w:pPr>
        <w:spacing w:after="220"/>
        <w:jc w:val="both"/>
        <w:rPr>
          <w:rFonts w:eastAsiaTheme="minorHAnsi" w:cstheme="minorBidi"/>
          <w:sz w:val="20"/>
          <w:szCs w:val="20"/>
        </w:rPr>
        <w:bidi w:val="0"/>
      </w:pPr>
      <w:r>
        <w:rPr>
          <w:rFonts w:cstheme="minorBidi" w:eastAsiaTheme="minorHAnsi"/>
          <w:sz w:val="20"/>
          <w:szCs w:val="20"/>
          <w:lang w:val="it-it"/>
          <w:b w:val="0"/>
          <w:bCs w:val="0"/>
          <w:i w:val="0"/>
          <w:iCs w:val="0"/>
          <w:u w:val="none"/>
          <w:vertAlign w:val="baseline"/>
          <w:rtl w:val="0"/>
        </w:rPr>
        <w:t xml:space="preserve">Una squadra affiatata: treno di macchine concatenate composto da MOBICAT MC 120 PRO e MOBISCREEN MSS 802 EVO di Kleemann.</w:t>
      </w:r>
    </w:p>
    <w:p w14:paraId="1334F445" w14:textId="363F3656" w:rsidR="007504F3" w:rsidRPr="005C1688" w:rsidRDefault="009237C6" w:rsidP="007504F3">
      <w:pPr>
        <w:rPr>
          <w:rFonts w:eastAsiaTheme="minorHAnsi" w:cstheme="minorBidi"/>
          <w:b/>
          <w:sz w:val="20"/>
          <w:szCs w:val="24"/>
        </w:rPr>
        <w:bidi w:val="0"/>
      </w:pPr>
      <w:r>
        <w:rPr>
          <w:noProof/>
          <w:lang w:val="it-it"/>
          <w:b w:val="0"/>
          <w:bCs w:val="0"/>
          <w:i w:val="0"/>
          <w:iCs w:val="0"/>
          <w:u w:val="none"/>
          <w:vertAlign w:val="baseline"/>
          <w:rtl w:val="0"/>
        </w:rPr>
        <w:drawing>
          <wp:inline distT="0" distB="0" distL="0" distR="0" wp14:anchorId="321442BB" wp14:editId="19B6EF47">
            <wp:extent cx="1952625" cy="1463932"/>
            <wp:effectExtent l="0" t="0" r="0" b="3175"/>
            <wp:docPr id="827544448" name="Grafik 827544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967947" cy="1475419"/>
                    </a:xfrm>
                    <a:prstGeom prst="rect">
                      <a:avLst/>
                    </a:prstGeom>
                    <a:noFill/>
                    <a:ln>
                      <a:noFill/>
                    </a:ln>
                  </pic:spPr>
                </pic:pic>
              </a:graphicData>
            </a:graphic>
          </wp:inline>
        </w:drawing>
      </w:r>
      <w:r>
        <w:rPr>
          <w:sz w:val="20"/>
          <w:szCs w:val="24"/>
          <w:lang w:val="it-it"/>
          <w:b w:val="1"/>
          <w:bCs w:val="1"/>
          <w:i w:val="0"/>
          <w:iCs w:val="0"/>
          <w:u w:val="none"/>
          <w:vertAlign w:val="baseline"/>
          <w:rtl w:val="0"/>
        </w:rPr>
        <w:t xml:space="preserve"> </w:t>
      </w:r>
    </w:p>
    <w:p w14:paraId="69471A03" w14:textId="7618D935" w:rsidR="009237C6" w:rsidRPr="00276375" w:rsidRDefault="009237C6" w:rsidP="009237C6">
      <w:pPr>
        <w:rPr>
          <w:rFonts w:eastAsiaTheme="minorHAnsi" w:cstheme="minorBidi"/>
          <w:b/>
          <w:sz w:val="20"/>
          <w:szCs w:val="24"/>
        </w:rPr>
        <w:bidi w:val="0"/>
      </w:pPr>
      <w:r>
        <w:rPr>
          <w:rFonts w:cstheme="minorBidi" w:eastAsiaTheme="minorHAnsi"/>
          <w:sz w:val="20"/>
          <w:szCs w:val="24"/>
          <w:lang w:val="it-it"/>
          <w:b w:val="1"/>
          <w:bCs w:val="1"/>
          <w:i w:val="0"/>
          <w:iCs w:val="0"/>
          <w:u w:val="none"/>
          <w:vertAlign w:val="baseline"/>
          <w:rtl w:val="0"/>
        </w:rPr>
        <w:t xml:space="preserve">Kleemann_MC 120 PRO_MSS 802_Indonesia_2</w:t>
      </w:r>
    </w:p>
    <w:p w14:paraId="5B9C02BB" w14:textId="7A2CF98F" w:rsidR="0090125B" w:rsidRDefault="009237C6" w:rsidP="009641DA">
      <w:pPr>
        <w:spacing w:after="220"/>
        <w:jc w:val="both"/>
        <w:rPr>
          <w:rFonts w:eastAsiaTheme="minorHAnsi" w:cstheme="minorBidi"/>
          <w:sz w:val="20"/>
          <w:szCs w:val="20"/>
        </w:rPr>
        <w:bidi w:val="0"/>
      </w:pPr>
      <w:r>
        <w:rPr>
          <w:rFonts w:cstheme="minorBidi" w:eastAsiaTheme="minorHAnsi"/>
          <w:sz w:val="20"/>
          <w:szCs w:val="20"/>
          <w:lang w:val="it-it"/>
          <w:b w:val="0"/>
          <w:bCs w:val="0"/>
          <w:i w:val="0"/>
          <w:iCs w:val="0"/>
          <w:u w:val="none"/>
          <w:vertAlign w:val="baseline"/>
          <w:rtl w:val="0"/>
        </w:rPr>
        <w:t xml:space="preserve">Treno di macchine Kleemann nella cava di andesite. </w:t>
      </w:r>
    </w:p>
    <w:p w14:paraId="2717446F" w14:textId="77777777" w:rsidR="0090125B" w:rsidRDefault="0090125B">
      <w:pPr>
        <w:rPr>
          <w:rFonts w:eastAsiaTheme="minorHAnsi" w:cstheme="minorBidi"/>
          <w:sz w:val="20"/>
          <w:szCs w:val="20"/>
        </w:rPr>
      </w:pPr>
    </w:p>
    <w:p w14:paraId="46CEEA0E" w14:textId="1BD94A35" w:rsidR="005C1688" w:rsidRDefault="009237C6">
      <w:pPr>
        <w:rPr>
          <w:rFonts w:eastAsiaTheme="minorHAnsi" w:cstheme="minorBidi"/>
          <w:sz w:val="20"/>
          <w:szCs w:val="20"/>
        </w:rPr>
        <w:bidi w:val="0"/>
      </w:pPr>
      <w:r>
        <w:rPr>
          <w:noProof/>
          <w:lang w:val="it-it"/>
          <w:b w:val="0"/>
          <w:bCs w:val="0"/>
          <w:i w:val="0"/>
          <w:iCs w:val="0"/>
          <w:u w:val="none"/>
          <w:vertAlign w:val="baseline"/>
          <w:rtl w:val="0"/>
        </w:rPr>
        <w:drawing>
          <wp:inline distT="0" distB="0" distL="0" distR="0" wp14:anchorId="7A009FD4" wp14:editId="1B8B888F">
            <wp:extent cx="1952625" cy="1463930"/>
            <wp:effectExtent l="0" t="0" r="0" b="3175"/>
            <wp:docPr id="324791683" name="Grafik 324791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962912" cy="1471642"/>
                    </a:xfrm>
                    <a:prstGeom prst="rect">
                      <a:avLst/>
                    </a:prstGeom>
                    <a:noFill/>
                    <a:ln>
                      <a:noFill/>
                    </a:ln>
                  </pic:spPr>
                </pic:pic>
              </a:graphicData>
            </a:graphic>
          </wp:inline>
        </w:drawing>
      </w:r>
    </w:p>
    <w:p w14:paraId="35D6856C" w14:textId="2D02F6A4" w:rsidR="002E55BA" w:rsidRPr="00276375" w:rsidRDefault="002E55BA" w:rsidP="002E55BA">
      <w:pPr>
        <w:rPr>
          <w:rFonts w:eastAsiaTheme="minorHAnsi" w:cstheme="minorBidi"/>
          <w:b/>
          <w:sz w:val="20"/>
          <w:szCs w:val="24"/>
        </w:rPr>
        <w:bidi w:val="0"/>
      </w:pPr>
      <w:r>
        <w:rPr>
          <w:rFonts w:cstheme="minorBidi" w:eastAsiaTheme="minorHAnsi"/>
          <w:sz w:val="20"/>
          <w:szCs w:val="24"/>
          <w:lang w:val="it-it"/>
          <w:b w:val="1"/>
          <w:bCs w:val="1"/>
          <w:i w:val="0"/>
          <w:iCs w:val="0"/>
          <w:u w:val="none"/>
          <w:vertAlign w:val="baseline"/>
          <w:rtl w:val="0"/>
        </w:rPr>
        <w:t xml:space="preserve">Kleemann_MC 120 PRO_MSS 802_Indonesia_3</w:t>
      </w:r>
    </w:p>
    <w:p w14:paraId="1C4B0FE4" w14:textId="06A6D6EF" w:rsidR="009641DA" w:rsidRDefault="009237C6">
      <w:pPr>
        <w:rPr>
          <w:rFonts w:eastAsiaTheme="minorHAnsi" w:cstheme="minorBidi"/>
          <w:sz w:val="20"/>
          <w:szCs w:val="20"/>
        </w:rPr>
        <w:bidi w:val="0"/>
      </w:pPr>
      <w:r>
        <w:rPr>
          <w:rFonts w:cstheme="minorBidi" w:eastAsiaTheme="minorHAnsi"/>
          <w:sz w:val="20"/>
          <w:szCs w:val="20"/>
          <w:lang w:val="it-it"/>
          <w:b w:val="0"/>
          <w:bCs w:val="0"/>
          <w:i w:val="0"/>
          <w:iCs w:val="0"/>
          <w:u w:val="none"/>
          <w:vertAlign w:val="baseline"/>
          <w:rtl w:val="0"/>
        </w:rPr>
        <w:t xml:space="preserve">Istruzioni pratiche e prove sul campo direttamente in cantiere. </w:t>
      </w:r>
    </w:p>
    <w:p w14:paraId="641561F4" w14:textId="6839CDBC" w:rsidR="009641DA" w:rsidRPr="009641DA" w:rsidRDefault="009641DA" w:rsidP="009641DA">
      <w:pPr>
        <w:rPr>
          <w:rFonts w:eastAsiaTheme="minorHAnsi" w:cstheme="minorBidi"/>
          <w:sz w:val="20"/>
          <w:szCs w:val="20"/>
        </w:rPr>
        <w:bidi w:val="0"/>
      </w:pPr>
      <w:r>
        <w:rPr>
          <w:rFonts w:cstheme="minorBidi" w:eastAsiaTheme="minorHAnsi"/>
          <w:sz w:val="20"/>
          <w:szCs w:val="24"/>
          <w:highlight w:val="yellow"/>
          <w:lang w:val="it-it"/>
          <w:b w:val="1"/>
          <w:bCs w:val="1"/>
          <w:i w:val="0"/>
          <w:iCs w:val="0"/>
          <w:u w:val="none"/>
          <w:vertAlign w:val="baseline"/>
          <w:rtl w:val="0"/>
        </w:rPr>
        <w:br w:type="textWrapping"/>
      </w:r>
    </w:p>
    <w:p w14:paraId="40D3DAB8" w14:textId="72C6082C" w:rsidR="007504F3" w:rsidRDefault="007504F3" w:rsidP="007504F3">
      <w:pPr>
        <w:spacing w:before="220" w:after="440"/>
        <w:rPr>
          <w:rFonts w:eastAsiaTheme="minorHAnsi" w:cstheme="minorBidi"/>
          <w:i/>
          <w:color w:val="000000"/>
          <w:sz w:val="20"/>
          <w:szCs w:val="20"/>
        </w:rPr>
        <w:bidi w:val="0"/>
      </w:pPr>
      <w:r>
        <w:rPr>
          <w:rFonts w:cstheme="minorBidi" w:eastAsiaTheme="minorHAnsi"/>
          <w:color w:val="000000"/>
          <w:sz w:val="20"/>
          <w:szCs w:val="20"/>
          <w:lang w:val="it-it"/>
          <w:b w:val="0"/>
          <w:bCs w:val="0"/>
          <w:i w:val="1"/>
          <w:iCs w:val="1"/>
          <w:u w:val="none"/>
          <w:vertAlign w:val="baseline"/>
          <w:rtl w:val="0"/>
        </w:rPr>
        <w:t xml:space="preserve">Nota: </w:t>
      </w:r>
      <w:r>
        <w:rPr>
          <w:rFonts w:cstheme="minorBidi" w:eastAsiaTheme="minorHAnsi"/>
          <w:color w:val="000000"/>
          <w:sz w:val="20"/>
          <w:szCs w:val="20"/>
          <w:lang w:val="it-it"/>
          <w:b w:val="0"/>
          <w:bCs w:val="0"/>
          <w:i w:val="1"/>
          <w:iCs w:val="1"/>
          <w:u w:val="none"/>
          <w:vertAlign w:val="baseline"/>
          <w:rtl w:val="0"/>
        </w:rPr>
        <w:t xml:space="preserve">Queste foto sono a puro scopo esemplificativo. </w:t>
      </w:r>
      <w:r>
        <w:rPr>
          <w:rFonts w:cstheme="minorBidi" w:eastAsiaTheme="minorHAnsi"/>
          <w:color w:val="000000"/>
          <w:sz w:val="20"/>
          <w:szCs w:val="20"/>
          <w:lang w:val="it-it"/>
          <w:b w:val="0"/>
          <w:bCs w:val="0"/>
          <w:i w:val="1"/>
          <w:iCs w:val="1"/>
          <w:u w:val="none"/>
          <w:vertAlign w:val="baseline"/>
          <w:rtl w:val="0"/>
        </w:rPr>
        <w:t xml:space="preserve">Per la stampa nelle varie pubblicazioni siete pregati di utilizzare le foto da 300 dpi di risoluzione disponibili per il download.</w:t>
      </w:r>
    </w:p>
    <w:p w14:paraId="23DD6695" w14:textId="77777777" w:rsidR="007504D7" w:rsidRDefault="007504D7">
      <w:pPr>
        <w:rPr>
          <w:rFonts w:eastAsiaTheme="minorHAnsi" w:cstheme="minorBidi"/>
          <w:b/>
          <w:iCs/>
          <w:sz w:val="22"/>
          <w:szCs w:val="24"/>
        </w:rPr>
        <w:bidi w:val="0"/>
      </w:pPr>
      <w:r>
        <w:rPr>
          <w:rFonts w:cstheme="minorBidi" w:eastAsiaTheme="minorHAnsi"/>
          <w:sz w:val="22"/>
          <w:szCs w:val="24"/>
          <w:lang w:val="it-it"/>
          <w:b w:val="1"/>
          <w:bCs w:val="1"/>
          <w:i w:val="0"/>
          <w:iCs w:val="0"/>
          <w:u w:val="none"/>
          <w:vertAlign w:val="baseline"/>
          <w:rtl w:val="0"/>
        </w:rPr>
        <w:br w:type="page"/>
      </w:r>
    </w:p>
    <w:p w14:paraId="69FEB596" w14:textId="53028CB9" w:rsidR="007504F3" w:rsidRPr="007504F3" w:rsidRDefault="007504F3" w:rsidP="007504F3">
      <w:pPr>
        <w:rPr>
          <w:rFonts w:eastAsiaTheme="minorHAnsi" w:cstheme="minorBidi"/>
          <w:b/>
          <w:iCs/>
          <w:sz w:val="22"/>
          <w:szCs w:val="24"/>
        </w:rPr>
        <w:bidi w:val="0"/>
      </w:pPr>
      <w:r>
        <w:rPr>
          <w:rFonts w:cstheme="minorBidi" w:eastAsiaTheme="minorHAnsi"/>
          <w:sz w:val="22"/>
          <w:szCs w:val="24"/>
          <w:lang w:val="it-it"/>
          <w:b w:val="1"/>
          <w:bCs w:val="1"/>
          <w:i w:val="0"/>
          <w:iCs w:val="0"/>
          <w:u w:val="none"/>
          <w:vertAlign w:val="baseline"/>
          <w:rtl w:val="0"/>
        </w:rPr>
        <w:t xml:space="preserve">È possibile reperire ulteriori informazioni presso:</w:t>
      </w:r>
    </w:p>
    <w:p w14:paraId="6B891BFF" w14:textId="77777777" w:rsidR="007504F3" w:rsidRPr="007504F3" w:rsidRDefault="007504F3" w:rsidP="007504F3">
      <w:pPr>
        <w:rPr>
          <w:rFonts w:eastAsiaTheme="minorHAnsi" w:cstheme="minorBidi"/>
          <w:b/>
          <w:sz w:val="22"/>
          <w:szCs w:val="24"/>
        </w:rPr>
      </w:pPr>
    </w:p>
    <w:p w14:paraId="0604040B" w14:textId="77777777" w:rsidR="007504F3" w:rsidRPr="007504F3" w:rsidRDefault="007504F3" w:rsidP="007504F3">
      <w:pPr>
        <w:rPr>
          <w:rFonts w:eastAsiaTheme="minorHAnsi" w:cstheme="minorBidi"/>
          <w:bCs/>
          <w:sz w:val="22"/>
          <w:szCs w:val="22"/>
        </w:rPr>
        <w:bidi w:val="0"/>
      </w:pPr>
      <w:r>
        <w:rPr>
          <w:rFonts w:cstheme="minorBidi" w:eastAsiaTheme="minorHAnsi"/>
          <w:sz w:val="22"/>
          <w:szCs w:val="24"/>
          <w:lang w:val="it-it"/>
          <w:b w:val="0"/>
          <w:bCs w:val="0"/>
          <w:i w:val="0"/>
          <w:iCs w:val="0"/>
          <w:u w:val="none"/>
          <w:vertAlign w:val="baseline"/>
          <w:rtl w:val="0"/>
        </w:rPr>
        <w:t xml:space="preserve">WIRTGEN GROUP</w:t>
      </w:r>
    </w:p>
    <w:p w14:paraId="631BDDF4" w14:textId="77777777" w:rsidR="007504F3" w:rsidRPr="007504F3" w:rsidRDefault="007504F3" w:rsidP="007504F3">
      <w:pPr>
        <w:rPr>
          <w:rFonts w:eastAsiaTheme="minorHAnsi" w:cstheme="minorBidi"/>
          <w:bCs/>
          <w:iCs/>
          <w:sz w:val="22"/>
          <w:szCs w:val="22"/>
        </w:rPr>
        <w:bidi w:val="0"/>
      </w:pPr>
      <w:r>
        <w:rPr>
          <w:rFonts w:cstheme="minorBidi" w:eastAsiaTheme="minorHAnsi"/>
          <w:sz w:val="22"/>
          <w:szCs w:val="22"/>
          <w:lang w:val="it-it"/>
          <w:b w:val="0"/>
          <w:bCs w:val="0"/>
          <w:i w:val="0"/>
          <w:iCs w:val="0"/>
          <w:u w:val="none"/>
          <w:vertAlign w:val="baseline"/>
          <w:rtl w:val="0"/>
        </w:rPr>
        <w:t xml:space="preserve">Public Relations</w:t>
      </w:r>
    </w:p>
    <w:p w14:paraId="3F1ED02D" w14:textId="77777777" w:rsidR="007504F3" w:rsidRPr="007504F3" w:rsidRDefault="007504F3" w:rsidP="007504F3">
      <w:pPr>
        <w:rPr>
          <w:rFonts w:eastAsiaTheme="minorHAnsi" w:cstheme="minorBidi"/>
          <w:bCs/>
          <w:iCs/>
          <w:sz w:val="22"/>
          <w:szCs w:val="22"/>
        </w:rPr>
        <w:bidi w:val="0"/>
      </w:pPr>
      <w:r>
        <w:rPr>
          <w:rFonts w:cstheme="minorBidi" w:eastAsiaTheme="minorHAnsi"/>
          <w:sz w:val="22"/>
          <w:szCs w:val="22"/>
          <w:lang w:val="it-it"/>
          <w:b w:val="0"/>
          <w:bCs w:val="0"/>
          <w:i w:val="0"/>
          <w:iCs w:val="0"/>
          <w:u w:val="none"/>
          <w:vertAlign w:val="baseline"/>
          <w:rtl w:val="0"/>
        </w:rPr>
        <w:t xml:space="preserve">Reinhard-Wirtgen-Straße 2</w:t>
      </w:r>
    </w:p>
    <w:p w14:paraId="1C2535D3" w14:textId="77777777" w:rsidR="007504F3" w:rsidRPr="007504F3" w:rsidRDefault="007504F3" w:rsidP="007504F3">
      <w:pPr>
        <w:rPr>
          <w:rFonts w:eastAsiaTheme="minorHAnsi" w:cstheme="minorBidi"/>
          <w:bCs/>
          <w:iCs/>
          <w:sz w:val="22"/>
          <w:szCs w:val="22"/>
        </w:rPr>
        <w:bidi w:val="0"/>
      </w:pPr>
      <w:r>
        <w:rPr>
          <w:rFonts w:cstheme="minorBidi" w:eastAsiaTheme="minorHAnsi"/>
          <w:sz w:val="22"/>
          <w:szCs w:val="22"/>
          <w:lang w:val="it-it"/>
          <w:b w:val="0"/>
          <w:bCs w:val="0"/>
          <w:i w:val="0"/>
          <w:iCs w:val="0"/>
          <w:u w:val="none"/>
          <w:vertAlign w:val="baseline"/>
          <w:rtl w:val="0"/>
        </w:rPr>
        <w:t xml:space="preserve">53578 Windhagen</w:t>
      </w:r>
    </w:p>
    <w:p w14:paraId="5A8EB392" w14:textId="77777777" w:rsidR="007504F3" w:rsidRPr="007504F3" w:rsidRDefault="007504F3" w:rsidP="007504F3">
      <w:pPr>
        <w:rPr>
          <w:rFonts w:eastAsiaTheme="minorHAnsi" w:cstheme="minorBidi"/>
          <w:bCs/>
          <w:iCs/>
          <w:sz w:val="22"/>
          <w:szCs w:val="22"/>
        </w:rPr>
        <w:bidi w:val="0"/>
      </w:pPr>
      <w:r>
        <w:rPr>
          <w:rFonts w:cstheme="minorBidi" w:eastAsiaTheme="minorHAnsi"/>
          <w:sz w:val="22"/>
          <w:szCs w:val="22"/>
          <w:lang w:val="it-it"/>
          <w:b w:val="0"/>
          <w:bCs w:val="0"/>
          <w:i w:val="0"/>
          <w:iCs w:val="0"/>
          <w:u w:val="none"/>
          <w:vertAlign w:val="baseline"/>
          <w:rtl w:val="0"/>
        </w:rPr>
        <w:t xml:space="preserve">Germania</w:t>
      </w:r>
    </w:p>
    <w:p w14:paraId="2F8BD2AA" w14:textId="77777777" w:rsidR="007504F3" w:rsidRPr="007504F3" w:rsidRDefault="007504F3" w:rsidP="007504F3">
      <w:pPr>
        <w:rPr>
          <w:rFonts w:eastAsiaTheme="minorHAnsi" w:cstheme="minorBidi"/>
          <w:bCs/>
          <w:iCs/>
          <w:sz w:val="22"/>
          <w:szCs w:val="22"/>
        </w:rPr>
      </w:pPr>
    </w:p>
    <w:p w14:paraId="221D8971" w14:textId="71DA7F53" w:rsidR="007504F3" w:rsidRPr="00F262CA" w:rsidRDefault="007504F3" w:rsidP="007504F3">
      <w:pPr>
        <w:rPr>
          <w:rFonts w:ascii="Times New Roman" w:eastAsiaTheme="minorHAnsi" w:hAnsi="Times New Roman"/>
          <w:bCs/>
          <w:iCs/>
          <w:sz w:val="22"/>
          <w:szCs w:val="22"/>
        </w:rPr>
        <w:bidi w:val="0"/>
      </w:pPr>
      <w:r>
        <w:rPr>
          <w:rFonts w:cstheme="minorBidi" w:eastAsiaTheme="minorHAnsi"/>
          <w:sz w:val="22"/>
          <w:szCs w:val="22"/>
          <w:lang w:val="it-it"/>
          <w:b w:val="0"/>
          <w:bCs w:val="0"/>
          <w:i w:val="0"/>
          <w:iCs w:val="0"/>
          <w:u w:val="none"/>
          <w:vertAlign w:val="baseline"/>
          <w:rtl w:val="0"/>
        </w:rPr>
        <w:t xml:space="preserve">Telefono: +49 (0) 2645 131 – 1966</w:t>
      </w:r>
    </w:p>
    <w:p w14:paraId="622E8B0A" w14:textId="77777777" w:rsidR="007504F3" w:rsidRPr="00F262CA" w:rsidRDefault="007504F3" w:rsidP="007504F3">
      <w:pPr>
        <w:rPr>
          <w:rFonts w:eastAsiaTheme="minorHAnsi" w:cstheme="minorBidi"/>
          <w:bCs/>
          <w:iCs/>
          <w:sz w:val="22"/>
          <w:szCs w:val="22"/>
        </w:rPr>
        <w:bidi w:val="0"/>
      </w:pPr>
      <w:r>
        <w:rPr>
          <w:rFonts w:cstheme="minorBidi" w:eastAsiaTheme="minorHAnsi"/>
          <w:sz w:val="22"/>
          <w:szCs w:val="22"/>
          <w:lang w:val="it-it"/>
          <w:b w:val="0"/>
          <w:bCs w:val="0"/>
          <w:i w:val="0"/>
          <w:iCs w:val="0"/>
          <w:u w:val="none"/>
          <w:vertAlign w:val="baseline"/>
          <w:rtl w:val="0"/>
        </w:rPr>
        <w:t xml:space="preserve">Telefax: +49 (0) 2645 131 – 499</w:t>
      </w:r>
    </w:p>
    <w:p w14:paraId="2E98FA6A" w14:textId="0C13F74A" w:rsidR="007504F3" w:rsidRPr="007504F3" w:rsidRDefault="007504F3" w:rsidP="007504F3">
      <w:pPr>
        <w:rPr>
          <w:rFonts w:eastAsiaTheme="minorHAnsi" w:cstheme="minorBidi"/>
          <w:bCs/>
          <w:iCs/>
          <w:sz w:val="22"/>
          <w:szCs w:val="22"/>
        </w:rPr>
        <w:bidi w:val="0"/>
      </w:pPr>
      <w:r>
        <w:rPr>
          <w:rFonts w:cstheme="minorBidi" w:eastAsiaTheme="minorHAnsi"/>
          <w:sz w:val="22"/>
          <w:szCs w:val="22"/>
          <w:lang w:val="it-it"/>
          <w:b w:val="0"/>
          <w:bCs w:val="0"/>
          <w:i w:val="0"/>
          <w:iCs w:val="0"/>
          <w:u w:val="none"/>
          <w:vertAlign w:val="baseline"/>
          <w:rtl w:val="0"/>
        </w:rPr>
        <w:t xml:space="preserve">E-mail: PR@wirtgen-group.com</w:t>
      </w:r>
    </w:p>
    <w:p w14:paraId="2A29322A" w14:textId="46234E0B" w:rsidR="00B409DF" w:rsidRPr="0090125B" w:rsidRDefault="007504F3" w:rsidP="0090125B">
      <w:pPr>
        <w:pStyle w:val="Fuzeile1"/>
        <w:bidi w:val="0"/>
      </w:pPr>
      <w:r>
        <w:rPr>
          <w:lang w:val="it-it"/>
          <w:b w:val="0"/>
          <w:bCs w:val="0"/>
          <w:i w:val="0"/>
          <w:iCs w:val="0"/>
          <w:u w:val="none"/>
          <w:vertAlign w:val="baseline"/>
          <w:rtl w:val="0"/>
        </w:rPr>
        <w:t xml:space="preserve">www.wirtgen-group.com</w:t>
      </w:r>
    </w:p>
    <w:sectPr w:rsidR="00B409DF" w:rsidRPr="0090125B"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pPr>
        <w:bidi w:val="0"/>
      </w:pPr>
      <w:r>
        <w:separator/>
      </w:r>
    </w:p>
  </w:endnote>
  <w:endnote w:type="continuationSeparator" w:id="0">
    <w:p w14:paraId="45C18345" w14:textId="77777777" w:rsidR="008F7BB7" w:rsidRDefault="008F7BB7"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it-it"/>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it-it"/>
              <w:b w:val="0"/>
              <w:bCs w:val="0"/>
              <w:i w:val="0"/>
              <w:iCs w:val="0"/>
              <w:u w:val="none"/>
              <w:vertAlign w:val="baseline"/>
              <w:rtl w:val="0"/>
            </w:rPr>
            <w:fldChar w:fldCharType="begin"/>
          </w:r>
          <w:r>
            <w:rPr>
              <w:szCs w:val="20"/>
              <w:lang w:val="it-it"/>
              <w:b w:val="0"/>
              <w:bCs w:val="0"/>
              <w:i w:val="0"/>
              <w:iCs w:val="0"/>
              <w:u w:val="none"/>
              <w:vertAlign w:val="baseline"/>
              <w:rtl w:val="0"/>
            </w:rPr>
            <w:instrText xml:space="preserve"> </w:instrText>
          </w:r>
          <w:r>
            <w:rPr>
              <w:szCs w:val="20"/>
              <w:lang w:val="it-it"/>
              <w:b w:val="0"/>
              <w:bCs w:val="0"/>
              <w:i w:val="0"/>
              <w:iCs w:val="0"/>
              <w:u w:val="none"/>
              <w:vertAlign w:val="baseline"/>
              <w:rtl w:val="0"/>
            </w:rPr>
            <w:instrText>PAGE</w:instrText>
          </w:r>
          <w:r>
            <w:rPr>
              <w:szCs w:val="20"/>
              <w:lang w:val="it-it"/>
              <w:b w:val="0"/>
              <w:bCs w:val="0"/>
              <w:i w:val="0"/>
              <w:iCs w:val="0"/>
              <w:u w:val="none"/>
              <w:vertAlign w:val="baseline"/>
              <w:rtl w:val="0"/>
            </w:rPr>
            <w:instrText xml:space="preserve"> \# "</w:instrText>
          </w:r>
          <w:r>
            <w:rPr>
              <w:szCs w:val="20"/>
              <w:lang w:val="it-it"/>
              <w:b w:val="0"/>
              <w:bCs w:val="0"/>
              <w:i w:val="0"/>
              <w:iCs w:val="0"/>
              <w:u w:val="none"/>
              <w:vertAlign w:val="baseline"/>
              <w:rtl w:val="0"/>
            </w:rPr>
            <w:instrText>00</w:instrText>
          </w:r>
          <w:r>
            <w:rPr>
              <w:szCs w:val="20"/>
              <w:lang w:val="it-it"/>
              <w:b w:val="0"/>
              <w:bCs w:val="0"/>
              <w:i w:val="0"/>
              <w:iCs w:val="0"/>
              <w:u w:val="none"/>
              <w:vertAlign w:val="baseline"/>
              <w:rtl w:val="0"/>
            </w:rPr>
            <w:instrText>"</w:instrText>
          </w:r>
          <w:r>
            <w:rPr>
              <w:szCs w:val="20"/>
              <w:lang w:val="it-it"/>
              <w:b w:val="0"/>
              <w:bCs w:val="0"/>
              <w:i w:val="0"/>
              <w:iCs w:val="0"/>
              <w:u w:val="none"/>
              <w:vertAlign w:val="baseline"/>
              <w:rtl w:val="0"/>
            </w:rPr>
            <w:fldChar w:fldCharType="separate"/>
          </w:r>
          <w:r>
            <w:rPr>
              <w:noProof/>
              <w:szCs w:val="20"/>
              <w:lang w:val="it-it"/>
              <w:b w:val="0"/>
              <w:bCs w:val="0"/>
              <w:i w:val="0"/>
              <w:iCs w:val="0"/>
              <w:u w:val="none"/>
              <w:vertAlign w:val="baseline"/>
              <w:rtl w:val="0"/>
            </w:rPr>
            <w:t xml:space="preserve">02</w:t>
          </w:r>
          <w:r>
            <w:rPr>
              <w:szCs w:val="20"/>
              <w:lang w:val="it-it"/>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it-it"/>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it-it"/>
              <w:b w:val="0"/>
              <w:bCs w:val="0"/>
              <w:i w:val="0"/>
              <w:iCs w:val="0"/>
              <w:u w:val="none"/>
              <w:vertAlign w:val="baseline"/>
              <w:rtl w:val="0"/>
            </w:rPr>
            <w:t xml:space="preserve">WIRTGEN</w:t>
          </w:r>
          <w:r>
            <w:rPr>
              <w:rStyle w:val="Hervorhebung"/>
              <w:szCs w:val="20"/>
              <w:lang w:val="it-it"/>
              <w:b w:val="1"/>
              <w:bCs w:val="1"/>
              <w:i w:val="0"/>
              <w:iCs w:val="0"/>
              <w:u w:val="none"/>
              <w:vertAlign w:val="baseline"/>
              <w:rtl w:val="0"/>
            </w:rPr>
            <w:t xml:space="preserve"> GmbH</w:t>
          </w:r>
          <w:r>
            <w:rPr>
              <w:szCs w:val="20"/>
              <w:lang w:val="it-it"/>
              <w:b w:val="0"/>
              <w:bCs w:val="0"/>
              <w:i w:val="0"/>
              <w:iCs w:val="0"/>
              <w:u w:val="none"/>
              <w:vertAlign w:val="baseline"/>
              <w:rtl w:val="0"/>
            </w:rPr>
            <w:t xml:space="preserve"> · Reinhard-Wirtgen-Str. 2 · D-53578 Windhagen · T: +49 26 45 / 131 0</w:t>
          </w:r>
        </w:p>
      </w:tc>
    </w:tr>
  </w:tbl>
  <w:p w14:paraId="732BEB33" w14:textId="77777777" w:rsidR="00533132" w:rsidRDefault="00BD5391">
    <w:pPr>
      <w:pStyle w:val="Fuzeile"/>
      <w:bidi w:val="0"/>
    </w:pPr>
    <w:r>
      <w:rPr>
        <w:noProof/>
        <w:lang w:val="it-it"/>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pPr>
        <w:bidi w:val="0"/>
      </w:pPr>
      <w:r>
        <w:separator/>
      </w:r>
    </w:p>
  </w:footnote>
  <w:footnote w:type="continuationSeparator" w:id="0">
    <w:p w14:paraId="7FE24238" w14:textId="77777777" w:rsidR="008F7BB7" w:rsidRDefault="008F7BB7"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25095FC1" w:rsidR="000278CB" w:rsidRDefault="007504F3">
    <w:pPr>
      <w:pStyle w:val="Kopfzeile"/>
      <w:bidi w:val="0"/>
    </w:pPr>
    <w:r>
      <w:rPr>
        <w:noProof/>
        <w:lang w:val="it-it"/>
        <w:b w:val="0"/>
        <w:bCs w:val="0"/>
        <w:i w:val="0"/>
        <w:iCs w:val="0"/>
        <w:u w:val="none"/>
        <w:vertAlign w:val="baseline"/>
        <w:rtl w:val="0"/>
      </w:rPr>
      <mc:AlternateContent>
        <mc:Choice Requires="wps">
          <w:drawing>
            <wp:anchor distT="0" distB="0" distL="0" distR="0" simplePos="0" relativeHeight="251661312" behindDoc="0" locked="0" layoutInCell="1" allowOverlap="1" wp14:anchorId="73AB2E80" wp14:editId="45B63838">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20F520" w14:textId="6E6890A8" w:rsidR="007504F3" w:rsidRPr="007504F3" w:rsidRDefault="007504F3" w:rsidP="007504F3">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AB2E80"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F20F520" w14:textId="6E6890A8" w:rsidR="007504F3" w:rsidRPr="007504F3" w:rsidRDefault="007504F3" w:rsidP="007504F3">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F8F43C" w:rsidR="00533132" w:rsidRPr="00533132" w:rsidRDefault="007504F3" w:rsidP="00533132">
    <w:pPr>
      <w:pStyle w:val="Kopfzeile"/>
      <w:bidi w:val="0"/>
    </w:pPr>
    <w:r>
      <w:rPr>
        <w:noProof/>
        <w:lang w:val="it-it"/>
        <w:b w:val="0"/>
        <w:bCs w:val="0"/>
        <w:i w:val="0"/>
        <w:iCs w:val="0"/>
        <w:u w:val="none"/>
        <w:vertAlign w:val="baseline"/>
        <w:rtl w:val="0"/>
      </w:rPr>
      <mc:AlternateContent>
        <mc:Choice Requires="wps">
          <w:drawing>
            <wp:anchor distT="0" distB="0" distL="0" distR="0" simplePos="0" relativeHeight="251662336" behindDoc="0" locked="0" layoutInCell="1" allowOverlap="1" wp14:anchorId="5ABE75F1" wp14:editId="5076EEB5">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608729" w14:textId="7D2E2E5F" w:rsidR="007504F3" w:rsidRPr="007504F3" w:rsidRDefault="007504F3" w:rsidP="007504F3">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ABE75F1"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7608729" w14:textId="7D2E2E5F" w:rsidR="007504F3" w:rsidRPr="007504F3" w:rsidRDefault="007504F3" w:rsidP="007504F3">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b w:val="0"/>
        <w:bCs w:val="0"/>
        <w:i w:val="0"/>
        <w:iCs w:val="0"/>
        <w:u w:val="none"/>
        <w:vertAlign w:val="baseline"/>
        <w:rtl w:val="0"/>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354A18D" w:rsidR="00533132" w:rsidRDefault="007504F3">
    <w:pPr>
      <w:pStyle w:val="Kopfzeile"/>
      <w:bidi w:val="0"/>
    </w:pPr>
    <w:r>
      <w:rPr>
        <w:noProof/>
        <w:lang w:val="it-it"/>
        <w:b w:val="0"/>
        <w:bCs w:val="0"/>
        <w:i w:val="0"/>
        <w:iCs w:val="0"/>
        <w:u w:val="none"/>
        <w:vertAlign w:val="baseline"/>
        <w:rtl w:val="0"/>
      </w:rPr>
      <mc:AlternateContent>
        <mc:Choice Requires="wps">
          <w:drawing>
            <wp:anchor distT="0" distB="0" distL="0" distR="0" simplePos="0" relativeHeight="251660288" behindDoc="0" locked="0" layoutInCell="1" allowOverlap="1" wp14:anchorId="40C699DB" wp14:editId="1739AEE7">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492E20" w14:textId="2C7B5F5D" w:rsidR="007504F3" w:rsidRPr="007504F3" w:rsidRDefault="007504F3" w:rsidP="007504F3">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0C699DB"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2492E20" w14:textId="2C7B5F5D" w:rsidR="007504F3" w:rsidRPr="007504F3" w:rsidRDefault="007504F3" w:rsidP="007504F3">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94557916">
    <w:abstractNumId w:val="10"/>
  </w:num>
  <w:num w:numId="2" w16cid:durableId="908661252">
    <w:abstractNumId w:val="10"/>
  </w:num>
  <w:num w:numId="3" w16cid:durableId="1522009352">
    <w:abstractNumId w:val="10"/>
  </w:num>
  <w:num w:numId="4" w16cid:durableId="1777870210">
    <w:abstractNumId w:val="10"/>
  </w:num>
  <w:num w:numId="5" w16cid:durableId="1029532062">
    <w:abstractNumId w:val="10"/>
  </w:num>
  <w:num w:numId="6" w16cid:durableId="1426875070">
    <w:abstractNumId w:val="2"/>
  </w:num>
  <w:num w:numId="7" w16cid:durableId="1921450248">
    <w:abstractNumId w:val="2"/>
  </w:num>
  <w:num w:numId="8" w16cid:durableId="1898125561">
    <w:abstractNumId w:val="2"/>
  </w:num>
  <w:num w:numId="9" w16cid:durableId="1608468350">
    <w:abstractNumId w:val="2"/>
  </w:num>
  <w:num w:numId="10" w16cid:durableId="2081782612">
    <w:abstractNumId w:val="2"/>
  </w:num>
  <w:num w:numId="11" w16cid:durableId="502666121">
    <w:abstractNumId w:val="5"/>
  </w:num>
  <w:num w:numId="12" w16cid:durableId="1653370662">
    <w:abstractNumId w:val="5"/>
  </w:num>
  <w:num w:numId="13" w16cid:durableId="1004818568">
    <w:abstractNumId w:val="4"/>
  </w:num>
  <w:num w:numId="14" w16cid:durableId="362747687">
    <w:abstractNumId w:val="4"/>
  </w:num>
  <w:num w:numId="15" w16cid:durableId="323439770">
    <w:abstractNumId w:val="4"/>
  </w:num>
  <w:num w:numId="16" w16cid:durableId="538081209">
    <w:abstractNumId w:val="4"/>
  </w:num>
  <w:num w:numId="17" w16cid:durableId="1181747448">
    <w:abstractNumId w:val="4"/>
  </w:num>
  <w:num w:numId="18" w16cid:durableId="1033965028">
    <w:abstractNumId w:val="1"/>
  </w:num>
  <w:num w:numId="19" w16cid:durableId="1122924565">
    <w:abstractNumId w:val="3"/>
  </w:num>
  <w:num w:numId="20" w16cid:durableId="1482959910">
    <w:abstractNumId w:val="8"/>
  </w:num>
  <w:num w:numId="21" w16cid:durableId="14590322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85249193">
    <w:abstractNumId w:val="0"/>
  </w:num>
  <w:num w:numId="23" w16cid:durableId="1729132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51573539">
    <w:abstractNumId w:val="7"/>
  </w:num>
  <w:num w:numId="25" w16cid:durableId="2278066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20684040">
    <w:abstractNumId w:val="6"/>
  </w:num>
  <w:num w:numId="27" w16cid:durableId="209268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71788"/>
    <w:rsid w:val="0009665C"/>
    <w:rsid w:val="000A0479"/>
    <w:rsid w:val="000A36D9"/>
    <w:rsid w:val="000A4C7D"/>
    <w:rsid w:val="000B582B"/>
    <w:rsid w:val="000C7C82"/>
    <w:rsid w:val="000D15C3"/>
    <w:rsid w:val="000D357E"/>
    <w:rsid w:val="000E24F8"/>
    <w:rsid w:val="000E5738"/>
    <w:rsid w:val="000F3749"/>
    <w:rsid w:val="000F417B"/>
    <w:rsid w:val="000F66DF"/>
    <w:rsid w:val="000F7DFD"/>
    <w:rsid w:val="00103205"/>
    <w:rsid w:val="0011795C"/>
    <w:rsid w:val="0012026F"/>
    <w:rsid w:val="00130601"/>
    <w:rsid w:val="00132055"/>
    <w:rsid w:val="001417FA"/>
    <w:rsid w:val="00143885"/>
    <w:rsid w:val="00146C3D"/>
    <w:rsid w:val="00153B47"/>
    <w:rsid w:val="001613A6"/>
    <w:rsid w:val="001614F0"/>
    <w:rsid w:val="001616F4"/>
    <w:rsid w:val="0018021A"/>
    <w:rsid w:val="00182D69"/>
    <w:rsid w:val="00193CE0"/>
    <w:rsid w:val="00194FB1"/>
    <w:rsid w:val="001966C4"/>
    <w:rsid w:val="001B16BB"/>
    <w:rsid w:val="001B34EE"/>
    <w:rsid w:val="001C1A3E"/>
    <w:rsid w:val="001F359E"/>
    <w:rsid w:val="00200355"/>
    <w:rsid w:val="0021351D"/>
    <w:rsid w:val="00253A2E"/>
    <w:rsid w:val="002603EC"/>
    <w:rsid w:val="00276375"/>
    <w:rsid w:val="00282AFC"/>
    <w:rsid w:val="00286C15"/>
    <w:rsid w:val="0029634D"/>
    <w:rsid w:val="002C6F4F"/>
    <w:rsid w:val="002C7542"/>
    <w:rsid w:val="002D065C"/>
    <w:rsid w:val="002D0780"/>
    <w:rsid w:val="002D2EE5"/>
    <w:rsid w:val="002D63E6"/>
    <w:rsid w:val="002E44D3"/>
    <w:rsid w:val="002E55BA"/>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03D0"/>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50F4"/>
    <w:rsid w:val="00430BB0"/>
    <w:rsid w:val="00467F3C"/>
    <w:rsid w:val="0047498D"/>
    <w:rsid w:val="00475E06"/>
    <w:rsid w:val="00476100"/>
    <w:rsid w:val="00487BFC"/>
    <w:rsid w:val="004A1833"/>
    <w:rsid w:val="004B3E60"/>
    <w:rsid w:val="004C1967"/>
    <w:rsid w:val="004D23D0"/>
    <w:rsid w:val="004D2BE0"/>
    <w:rsid w:val="004E0A77"/>
    <w:rsid w:val="004E61FD"/>
    <w:rsid w:val="004E6EF5"/>
    <w:rsid w:val="004E74CA"/>
    <w:rsid w:val="004F7E40"/>
    <w:rsid w:val="00506409"/>
    <w:rsid w:val="0052124E"/>
    <w:rsid w:val="0052548C"/>
    <w:rsid w:val="00530E32"/>
    <w:rsid w:val="00533132"/>
    <w:rsid w:val="00534889"/>
    <w:rsid w:val="00537210"/>
    <w:rsid w:val="00541C9E"/>
    <w:rsid w:val="005540B0"/>
    <w:rsid w:val="005649F4"/>
    <w:rsid w:val="005710C8"/>
    <w:rsid w:val="005711A3"/>
    <w:rsid w:val="00571A5C"/>
    <w:rsid w:val="00573B2B"/>
    <w:rsid w:val="005776E9"/>
    <w:rsid w:val="00587AD9"/>
    <w:rsid w:val="005909A8"/>
    <w:rsid w:val="005931CB"/>
    <w:rsid w:val="005A2B78"/>
    <w:rsid w:val="005A4F04"/>
    <w:rsid w:val="005B5793"/>
    <w:rsid w:val="005C1688"/>
    <w:rsid w:val="005C6B30"/>
    <w:rsid w:val="005C71EC"/>
    <w:rsid w:val="005D7B09"/>
    <w:rsid w:val="005E764C"/>
    <w:rsid w:val="005F16C3"/>
    <w:rsid w:val="006063D4"/>
    <w:rsid w:val="00612D6C"/>
    <w:rsid w:val="00615CDA"/>
    <w:rsid w:val="00623B37"/>
    <w:rsid w:val="006330A2"/>
    <w:rsid w:val="00642EB6"/>
    <w:rsid w:val="006433E2"/>
    <w:rsid w:val="00651E5D"/>
    <w:rsid w:val="00672586"/>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40BCE"/>
    <w:rsid w:val="007504D7"/>
    <w:rsid w:val="007504F3"/>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24D2C"/>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0E6"/>
    <w:rsid w:val="00881E44"/>
    <w:rsid w:val="008858E6"/>
    <w:rsid w:val="00892F6F"/>
    <w:rsid w:val="00896F7E"/>
    <w:rsid w:val="008B1EB7"/>
    <w:rsid w:val="008C2A29"/>
    <w:rsid w:val="008C2DB2"/>
    <w:rsid w:val="008D0668"/>
    <w:rsid w:val="008D26D8"/>
    <w:rsid w:val="008D4365"/>
    <w:rsid w:val="008D770E"/>
    <w:rsid w:val="008F491C"/>
    <w:rsid w:val="008F7BB7"/>
    <w:rsid w:val="0090125B"/>
    <w:rsid w:val="00902181"/>
    <w:rsid w:val="0090337E"/>
    <w:rsid w:val="009049D8"/>
    <w:rsid w:val="00910609"/>
    <w:rsid w:val="009125E2"/>
    <w:rsid w:val="00915841"/>
    <w:rsid w:val="00922098"/>
    <w:rsid w:val="009237C6"/>
    <w:rsid w:val="009328FA"/>
    <w:rsid w:val="00936A78"/>
    <w:rsid w:val="009375E1"/>
    <w:rsid w:val="00952853"/>
    <w:rsid w:val="0096282B"/>
    <w:rsid w:val="009641DA"/>
    <w:rsid w:val="009646E4"/>
    <w:rsid w:val="00977EC3"/>
    <w:rsid w:val="00980313"/>
    <w:rsid w:val="0098631D"/>
    <w:rsid w:val="009877C8"/>
    <w:rsid w:val="009B17A9"/>
    <w:rsid w:val="009B211F"/>
    <w:rsid w:val="009B3F8C"/>
    <w:rsid w:val="009B7C05"/>
    <w:rsid w:val="009C2378"/>
    <w:rsid w:val="009C5A77"/>
    <w:rsid w:val="009C5D99"/>
    <w:rsid w:val="009C6020"/>
    <w:rsid w:val="009C668C"/>
    <w:rsid w:val="009C73BF"/>
    <w:rsid w:val="009D016F"/>
    <w:rsid w:val="009E251D"/>
    <w:rsid w:val="009F0ABD"/>
    <w:rsid w:val="009F10A8"/>
    <w:rsid w:val="009F715C"/>
    <w:rsid w:val="00A01ABA"/>
    <w:rsid w:val="00A02F49"/>
    <w:rsid w:val="00A04650"/>
    <w:rsid w:val="00A13C4A"/>
    <w:rsid w:val="00A171F4"/>
    <w:rsid w:val="00A1772D"/>
    <w:rsid w:val="00A177B2"/>
    <w:rsid w:val="00A22BD8"/>
    <w:rsid w:val="00A24EFC"/>
    <w:rsid w:val="00A27829"/>
    <w:rsid w:val="00A30886"/>
    <w:rsid w:val="00A46F1E"/>
    <w:rsid w:val="00A82395"/>
    <w:rsid w:val="00A9389A"/>
    <w:rsid w:val="00A96B2E"/>
    <w:rsid w:val="00A977CE"/>
    <w:rsid w:val="00AB3522"/>
    <w:rsid w:val="00AB52F9"/>
    <w:rsid w:val="00AC3138"/>
    <w:rsid w:val="00AC53EF"/>
    <w:rsid w:val="00AC6F42"/>
    <w:rsid w:val="00AD131F"/>
    <w:rsid w:val="00AD32D5"/>
    <w:rsid w:val="00AD70E4"/>
    <w:rsid w:val="00AF1751"/>
    <w:rsid w:val="00AF3B3A"/>
    <w:rsid w:val="00AF4E8E"/>
    <w:rsid w:val="00AF6569"/>
    <w:rsid w:val="00B06265"/>
    <w:rsid w:val="00B115B5"/>
    <w:rsid w:val="00B409DF"/>
    <w:rsid w:val="00B5232A"/>
    <w:rsid w:val="00B60ED1"/>
    <w:rsid w:val="00B62CF5"/>
    <w:rsid w:val="00B63C90"/>
    <w:rsid w:val="00B65A46"/>
    <w:rsid w:val="00B70425"/>
    <w:rsid w:val="00B7452F"/>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86589"/>
    <w:rsid w:val="00C96E9F"/>
    <w:rsid w:val="00CA35E3"/>
    <w:rsid w:val="00CA4A09"/>
    <w:rsid w:val="00CA4F06"/>
    <w:rsid w:val="00CB4D45"/>
    <w:rsid w:val="00CC3A9F"/>
    <w:rsid w:val="00CC5A63"/>
    <w:rsid w:val="00CC6C7C"/>
    <w:rsid w:val="00CC787C"/>
    <w:rsid w:val="00CF36C9"/>
    <w:rsid w:val="00D00EC4"/>
    <w:rsid w:val="00D164C8"/>
    <w:rsid w:val="00D166AC"/>
    <w:rsid w:val="00D16C4C"/>
    <w:rsid w:val="00D26E87"/>
    <w:rsid w:val="00D36BA2"/>
    <w:rsid w:val="00D37CF4"/>
    <w:rsid w:val="00D4487C"/>
    <w:rsid w:val="00D63D33"/>
    <w:rsid w:val="00D64DD0"/>
    <w:rsid w:val="00D73352"/>
    <w:rsid w:val="00D74EA4"/>
    <w:rsid w:val="00D84E46"/>
    <w:rsid w:val="00D935C3"/>
    <w:rsid w:val="00DA0266"/>
    <w:rsid w:val="00DA0F4B"/>
    <w:rsid w:val="00DA477E"/>
    <w:rsid w:val="00DB4BB0"/>
    <w:rsid w:val="00DD0C2F"/>
    <w:rsid w:val="00DE14AD"/>
    <w:rsid w:val="00DE461D"/>
    <w:rsid w:val="00E04039"/>
    <w:rsid w:val="00E14608"/>
    <w:rsid w:val="00E15EBE"/>
    <w:rsid w:val="00E21E67"/>
    <w:rsid w:val="00E30EBF"/>
    <w:rsid w:val="00E316C0"/>
    <w:rsid w:val="00E31E03"/>
    <w:rsid w:val="00E424CB"/>
    <w:rsid w:val="00E51170"/>
    <w:rsid w:val="00E52D70"/>
    <w:rsid w:val="00E52DC8"/>
    <w:rsid w:val="00E55534"/>
    <w:rsid w:val="00E565DC"/>
    <w:rsid w:val="00E62385"/>
    <w:rsid w:val="00E7116D"/>
    <w:rsid w:val="00E72429"/>
    <w:rsid w:val="00E83680"/>
    <w:rsid w:val="00E90566"/>
    <w:rsid w:val="00E914D1"/>
    <w:rsid w:val="00E960D8"/>
    <w:rsid w:val="00EA4B58"/>
    <w:rsid w:val="00EB0F6E"/>
    <w:rsid w:val="00EB488E"/>
    <w:rsid w:val="00EB5FCA"/>
    <w:rsid w:val="00ED7F68"/>
    <w:rsid w:val="00EF2575"/>
    <w:rsid w:val="00EF5828"/>
    <w:rsid w:val="00EF7420"/>
    <w:rsid w:val="00F02BCD"/>
    <w:rsid w:val="00F048D4"/>
    <w:rsid w:val="00F207FE"/>
    <w:rsid w:val="00F20920"/>
    <w:rsid w:val="00F23212"/>
    <w:rsid w:val="00F262CA"/>
    <w:rsid w:val="00F33B16"/>
    <w:rsid w:val="00F353EA"/>
    <w:rsid w:val="00F36C27"/>
    <w:rsid w:val="00F56318"/>
    <w:rsid w:val="00F61557"/>
    <w:rsid w:val="00F67C95"/>
    <w:rsid w:val="00F74540"/>
    <w:rsid w:val="00F75B79"/>
    <w:rsid w:val="00F772A0"/>
    <w:rsid w:val="00F77A13"/>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96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55B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AF175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footer" Target="footer1.xml" /><Relationship Id="rId1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2.xml" /><Relationship Id="rId17" Type="http://schemas.openxmlformats.org/officeDocument/2006/relationships/fontTable" Target="fontTable.xml" /><Relationship Id="rId2" Type="http://schemas.openxmlformats.org/officeDocument/2006/relationships/numbering" Target="numbering.xml" /><Relationship Id="rId16" Type="http://schemas.openxmlformats.org/officeDocument/2006/relationships/footer" Target="footer3.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1.xml" /><Relationship Id="rId5" Type="http://schemas.openxmlformats.org/officeDocument/2006/relationships/webSettings" Target="webSettings.xml" /><Relationship Id="rId15" Type="http://schemas.openxmlformats.org/officeDocument/2006/relationships/header" Target="header3.xml" /><Relationship Id="rId10" Type="http://schemas.openxmlformats.org/officeDocument/2006/relationships/image" Target="media/image5.jpeg"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footer" Target="footer2.xml" /></Relationships>
</file>

<file path=word/_rels/header2.xml.rels><?xml version="1.0" encoding="UTF-8" standalone="yes"?>
<Relationships xmlns="http://schemas.openxmlformats.org/package/2006/relationships"><Relationship Id="rId2" Type="http://schemas.openxmlformats.org/officeDocument/2006/relationships/image" Target="media/image7.svg" /><Relationship Id="rId1" Type="http://schemas.openxmlformats.org/officeDocument/2006/relationships/image" Target="media/image6.png" /></Relationships>
</file>

<file path=word/_rels/header3.xml.rels><?xml version="1.0" encoding="UTF-8" standalone="yes"?>
<Relationships xmlns="http://schemas.openxmlformats.org/package/2006/relationships"><Relationship Id="rId2" Type="http://schemas.openxmlformats.org/officeDocument/2006/relationships/image" Target="media/image9.wmf" /><Relationship Id="rId1" Type="http://schemas.openxmlformats.org/officeDocument/2006/relationships/image" Target="media/image8.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4D93F-7A30-4550-B9BA-DF22CAA2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525</Words>
  <Characters>3310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3828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2</cp:revision>
  <cp:lastPrinted>2024-02-05T09:48:00Z</cp:lastPrinted>
  <dcterms:created xsi:type="dcterms:W3CDTF">2024-09-23T14:52:00Z</dcterms:created>
  <dcterms:modified xsi:type="dcterms:W3CDTF">2024-09-23T14:52:00Z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8,b,f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2023-10-10T13:59:08Z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1546f44a-bae2-494d-b65e-63cf76e9b52a</vt:lpwstr>
  </property>
  <property fmtid="{D5CDD505-2E9C-101B-9397-08002B2CF9AE}" pid="11" name="MSIP_Label_df1a195f-122b-42dc-a2d3-71a1903dcdac_ContentBits">
    <vt:lpwstr>1</vt:lpwstr>
  </property>
</Properties>
</file>