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B8736" w14:textId="510CDE99" w:rsidR="00A04650" w:rsidRPr="00A04650" w:rsidRDefault="007504F3" w:rsidP="008D0668">
      <w:pPr>
        <w:pStyle w:val="Head"/>
        <w:rPr>
          <w:b w:val="0"/>
          <w:bCs w:val="0"/>
          <w:sz w:val="22"/>
          <w:szCs w:val="22"/>
        </w:rPr>
      </w:pPr>
      <w:r w:rsidRPr="007504F3">
        <w:t xml:space="preserve">Kleemann | </w:t>
      </w:r>
      <w:r w:rsidR="00092620">
        <w:t>Neuer Kompaktbrecher im Recycling</w:t>
      </w:r>
      <w:r w:rsidR="00104095">
        <w:t>einsatz</w:t>
      </w:r>
    </w:p>
    <w:p w14:paraId="0F7877AC" w14:textId="592F0C07" w:rsidR="007504F3" w:rsidRPr="00B7452F" w:rsidRDefault="00092620" w:rsidP="007504F3">
      <w:pPr>
        <w:spacing w:after="220"/>
        <w:rPr>
          <w:rFonts w:eastAsiaTheme="majorEastAsia" w:cstheme="majorBidi"/>
          <w:b/>
          <w:iCs/>
          <w:sz w:val="28"/>
          <w:szCs w:val="28"/>
        </w:rPr>
      </w:pPr>
      <w:r>
        <w:rPr>
          <w:rFonts w:eastAsiaTheme="majorEastAsia" w:cstheme="majorBidi"/>
          <w:b/>
          <w:iCs/>
          <w:sz w:val="28"/>
          <w:szCs w:val="28"/>
        </w:rPr>
        <w:t>Prallbrecher MOBIREX MR 100i NEO überzeugt im Einsatz auf einem Recyclinghof</w:t>
      </w:r>
    </w:p>
    <w:p w14:paraId="504F0DF1" w14:textId="7C53A46D" w:rsidR="00092620" w:rsidRPr="005E78C3" w:rsidRDefault="00092620" w:rsidP="00092620">
      <w:pPr>
        <w:rPr>
          <w:b/>
          <w:bCs/>
          <w:sz w:val="24"/>
          <w:szCs w:val="24"/>
        </w:rPr>
      </w:pPr>
      <w:r>
        <w:rPr>
          <w:b/>
          <w:bCs/>
          <w:sz w:val="24"/>
          <w:szCs w:val="24"/>
        </w:rPr>
        <w:t>I</w:t>
      </w:r>
      <w:r w:rsidRPr="005E78C3">
        <w:rPr>
          <w:b/>
          <w:bCs/>
          <w:sz w:val="24"/>
          <w:szCs w:val="24"/>
        </w:rPr>
        <w:t>n Nordhorn nahe der niederländischen Grenze</w:t>
      </w:r>
      <w:r w:rsidRPr="00DF0269">
        <w:rPr>
          <w:b/>
          <w:bCs/>
          <w:sz w:val="24"/>
          <w:szCs w:val="24"/>
        </w:rPr>
        <w:t xml:space="preserve"> </w:t>
      </w:r>
      <w:r w:rsidRPr="005E78C3">
        <w:rPr>
          <w:b/>
          <w:bCs/>
          <w:sz w:val="24"/>
          <w:szCs w:val="24"/>
        </w:rPr>
        <w:t xml:space="preserve">ist </w:t>
      </w:r>
      <w:r>
        <w:rPr>
          <w:b/>
          <w:bCs/>
          <w:sz w:val="24"/>
          <w:szCs w:val="24"/>
        </w:rPr>
        <w:t>der neue</w:t>
      </w:r>
      <w:r w:rsidRPr="005E78C3">
        <w:rPr>
          <w:b/>
          <w:bCs/>
          <w:sz w:val="24"/>
          <w:szCs w:val="24"/>
        </w:rPr>
        <w:t xml:space="preserve"> </w:t>
      </w:r>
      <w:r w:rsidRPr="00DF0269">
        <w:rPr>
          <w:b/>
          <w:bCs/>
          <w:sz w:val="24"/>
          <w:szCs w:val="24"/>
        </w:rPr>
        <w:t>m</w:t>
      </w:r>
      <w:r w:rsidRPr="005E78C3">
        <w:rPr>
          <w:b/>
          <w:bCs/>
          <w:sz w:val="24"/>
          <w:szCs w:val="24"/>
        </w:rPr>
        <w:t xml:space="preserve">obile Prallbrecher </w:t>
      </w:r>
      <w:bookmarkStart w:id="0" w:name="_Hlk179184813"/>
      <w:r w:rsidRPr="00DF0269">
        <w:rPr>
          <w:b/>
          <w:bCs/>
          <w:sz w:val="24"/>
          <w:szCs w:val="24"/>
        </w:rPr>
        <w:t>MOBIREX MR 100i NEO</w:t>
      </w:r>
      <w:r>
        <w:rPr>
          <w:b/>
          <w:bCs/>
          <w:sz w:val="24"/>
          <w:szCs w:val="24"/>
        </w:rPr>
        <w:t xml:space="preserve"> </w:t>
      </w:r>
      <w:bookmarkEnd w:id="0"/>
      <w:r>
        <w:rPr>
          <w:b/>
          <w:bCs/>
          <w:sz w:val="24"/>
          <w:szCs w:val="24"/>
        </w:rPr>
        <w:t>von Kleemann im Einsatz</w:t>
      </w:r>
      <w:r w:rsidRPr="00DF0269">
        <w:rPr>
          <w:b/>
          <w:bCs/>
          <w:sz w:val="24"/>
          <w:szCs w:val="24"/>
        </w:rPr>
        <w:t xml:space="preserve">. Die Neuentwicklung wird dort zur </w:t>
      </w:r>
      <w:r w:rsidRPr="005E78C3">
        <w:rPr>
          <w:b/>
          <w:bCs/>
          <w:sz w:val="24"/>
          <w:szCs w:val="24"/>
        </w:rPr>
        <w:t>Wiederaufbereitung von Beton und Bauschutt</w:t>
      </w:r>
      <w:r w:rsidRPr="00DF0269">
        <w:rPr>
          <w:b/>
          <w:bCs/>
          <w:sz w:val="24"/>
          <w:szCs w:val="24"/>
        </w:rPr>
        <w:t xml:space="preserve"> eingesetzt</w:t>
      </w:r>
      <w:r>
        <w:rPr>
          <w:b/>
          <w:bCs/>
          <w:sz w:val="24"/>
          <w:szCs w:val="24"/>
        </w:rPr>
        <w:t>.</w:t>
      </w:r>
    </w:p>
    <w:p w14:paraId="31EC094A" w14:textId="77777777" w:rsidR="00F77A13" w:rsidRDefault="00F77A13" w:rsidP="00E90566">
      <w:pPr>
        <w:spacing w:after="220"/>
        <w:contextualSpacing/>
        <w:jc w:val="both"/>
        <w:rPr>
          <w:b/>
          <w:bCs/>
          <w:sz w:val="22"/>
        </w:rPr>
      </w:pPr>
    </w:p>
    <w:p w14:paraId="13ADBB13" w14:textId="711966EF" w:rsidR="0090125B" w:rsidRDefault="00092620" w:rsidP="00AB3522">
      <w:pPr>
        <w:jc w:val="both"/>
        <w:rPr>
          <w:sz w:val="22"/>
        </w:rPr>
      </w:pPr>
      <w:r w:rsidRPr="00092620">
        <w:rPr>
          <w:sz w:val="22"/>
        </w:rPr>
        <w:t xml:space="preserve">Die MOBIREX MR 100i NEO zeichnet sich durch eine robuste Bauweise und Flexibilität aus. </w:t>
      </w:r>
      <w:r w:rsidR="00E57A01">
        <w:rPr>
          <w:sz w:val="22"/>
        </w:rPr>
        <w:t>Dank der</w:t>
      </w:r>
      <w:r w:rsidR="00E57A01" w:rsidRPr="00092620">
        <w:rPr>
          <w:sz w:val="22"/>
        </w:rPr>
        <w:t xml:space="preserve"> </w:t>
      </w:r>
      <w:r w:rsidRPr="00092620">
        <w:rPr>
          <w:sz w:val="22"/>
        </w:rPr>
        <w:t>kompakte</w:t>
      </w:r>
      <w:r w:rsidR="00E57A01">
        <w:rPr>
          <w:sz w:val="22"/>
        </w:rPr>
        <w:t>n</w:t>
      </w:r>
      <w:r w:rsidRPr="00092620">
        <w:rPr>
          <w:sz w:val="22"/>
        </w:rPr>
        <w:t xml:space="preserve"> Bauweise </w:t>
      </w:r>
      <w:r w:rsidR="00E57A01">
        <w:rPr>
          <w:sz w:val="22"/>
        </w:rPr>
        <w:t>lässt sich der</w:t>
      </w:r>
      <w:r w:rsidRPr="00092620">
        <w:rPr>
          <w:sz w:val="22"/>
        </w:rPr>
        <w:t xml:space="preserve"> mobile Prallbrecher auch auf sehr engen Platzverhältnissen einsetzen.</w:t>
      </w:r>
      <w:r w:rsidR="00AB3522">
        <w:rPr>
          <w:sz w:val="22"/>
        </w:rPr>
        <w:t xml:space="preserve"> </w:t>
      </w:r>
      <w:r w:rsidR="00D316D8">
        <w:rPr>
          <w:sz w:val="22"/>
        </w:rPr>
        <w:t>Die solide Bauweise</w:t>
      </w:r>
      <w:r w:rsidR="000F7EC9">
        <w:rPr>
          <w:sz w:val="22"/>
        </w:rPr>
        <w:t xml:space="preserve">, </w:t>
      </w:r>
      <w:r w:rsidR="00D316D8">
        <w:rPr>
          <w:sz w:val="22"/>
        </w:rPr>
        <w:t>die technischen Neuerungen</w:t>
      </w:r>
      <w:r w:rsidR="001E644E">
        <w:rPr>
          <w:sz w:val="22"/>
        </w:rPr>
        <w:t>, die Leistungsfähigkeit</w:t>
      </w:r>
      <w:r w:rsidR="00D316D8">
        <w:rPr>
          <w:sz w:val="22"/>
        </w:rPr>
        <w:t xml:space="preserve"> </w:t>
      </w:r>
      <w:r w:rsidR="000F7EC9">
        <w:rPr>
          <w:sz w:val="22"/>
        </w:rPr>
        <w:t xml:space="preserve">sowie die bedienerfreundliche Handhabung </w:t>
      </w:r>
      <w:r w:rsidR="00D316D8">
        <w:rPr>
          <w:sz w:val="22"/>
        </w:rPr>
        <w:t xml:space="preserve">überzeugen den Betreiber. </w:t>
      </w:r>
    </w:p>
    <w:p w14:paraId="31C54CF6" w14:textId="77777777" w:rsidR="008810E6" w:rsidRPr="00D26E87" w:rsidRDefault="008810E6" w:rsidP="0090125B">
      <w:pPr>
        <w:rPr>
          <w:b/>
          <w:bCs/>
          <w:sz w:val="22"/>
        </w:rPr>
      </w:pPr>
    </w:p>
    <w:p w14:paraId="401D60E4" w14:textId="066BD960" w:rsidR="00F61557" w:rsidRPr="00AB3522" w:rsidRDefault="00D316D8" w:rsidP="00AB3522">
      <w:pPr>
        <w:jc w:val="both"/>
        <w:rPr>
          <w:b/>
          <w:bCs/>
          <w:sz w:val="22"/>
        </w:rPr>
      </w:pPr>
      <w:r>
        <w:rPr>
          <w:b/>
          <w:bCs/>
          <w:sz w:val="22"/>
        </w:rPr>
        <w:t xml:space="preserve">Anwenderfreundlichkeit und Sicherheit </w:t>
      </w:r>
    </w:p>
    <w:p w14:paraId="1FCFB641" w14:textId="393F8417" w:rsidR="008810E6" w:rsidRDefault="00D316D8" w:rsidP="008810E6">
      <w:pPr>
        <w:jc w:val="both"/>
        <w:rPr>
          <w:sz w:val="22"/>
        </w:rPr>
      </w:pPr>
      <w:r w:rsidRPr="00D316D8">
        <w:rPr>
          <w:sz w:val="22"/>
        </w:rPr>
        <w:t>Eine Neuerung</w:t>
      </w:r>
      <w:r>
        <w:rPr>
          <w:sz w:val="22"/>
        </w:rPr>
        <w:t xml:space="preserve"> der</w:t>
      </w:r>
      <w:r w:rsidRPr="00D316D8">
        <w:rPr>
          <w:sz w:val="22"/>
        </w:rPr>
        <w:t xml:space="preserve"> Anlage ist „Lock &amp; Turn Quick Access“. Das System ermöglicht das schnelle und werkzeuglose Öffnen des Brechergehäuses. Das Öffnen und Schließen dauert dabei lediglich 30 Sekunden und funktioniert praktisch per Knopfdruck. </w:t>
      </w:r>
      <w:r>
        <w:rPr>
          <w:sz w:val="22"/>
        </w:rPr>
        <w:t>Dadurch ist der</w:t>
      </w:r>
      <w:r w:rsidRPr="00D316D8">
        <w:rPr>
          <w:sz w:val="22"/>
        </w:rPr>
        <w:t xml:space="preserve"> Zugang </w:t>
      </w:r>
      <w:r>
        <w:rPr>
          <w:sz w:val="22"/>
        </w:rPr>
        <w:t>zu</w:t>
      </w:r>
      <w:r w:rsidRPr="00D316D8">
        <w:rPr>
          <w:sz w:val="22"/>
        </w:rPr>
        <w:t xml:space="preserve"> Wartungsarbeiten</w:t>
      </w:r>
      <w:r>
        <w:rPr>
          <w:sz w:val="22"/>
        </w:rPr>
        <w:t xml:space="preserve">, </w:t>
      </w:r>
      <w:r w:rsidRPr="00D316D8">
        <w:rPr>
          <w:sz w:val="22"/>
        </w:rPr>
        <w:t>wenn Verbrückungen gelöst oder Schlagleisten gewechselt werden müssen</w:t>
      </w:r>
      <w:r>
        <w:rPr>
          <w:sz w:val="22"/>
        </w:rPr>
        <w:t xml:space="preserve">, </w:t>
      </w:r>
      <w:r w:rsidRPr="00D316D8">
        <w:rPr>
          <w:sz w:val="22"/>
        </w:rPr>
        <w:t xml:space="preserve">vereinfacht. </w:t>
      </w:r>
      <w:r>
        <w:rPr>
          <w:sz w:val="22"/>
        </w:rPr>
        <w:t>Zudem wird</w:t>
      </w:r>
      <w:r w:rsidRPr="00D316D8">
        <w:rPr>
          <w:sz w:val="22"/>
        </w:rPr>
        <w:t xml:space="preserve"> die Sicherheit und Effizienz im Betrieb damit verbessert. Im hektischen Alltag des Recyclings spart die</w:t>
      </w:r>
      <w:r>
        <w:rPr>
          <w:sz w:val="22"/>
        </w:rPr>
        <w:t>s</w:t>
      </w:r>
      <w:r w:rsidRPr="00D316D8">
        <w:rPr>
          <w:sz w:val="22"/>
        </w:rPr>
        <w:t xml:space="preserve"> Zeit, sorgt für einen reibungslosen Betrieb und erhöht die Sicherheit für die Bediener.</w:t>
      </w:r>
    </w:p>
    <w:p w14:paraId="265AD6F6" w14:textId="77777777" w:rsidR="00AB3522" w:rsidRPr="008810E6" w:rsidRDefault="00AB3522" w:rsidP="008810E6">
      <w:pPr>
        <w:jc w:val="both"/>
        <w:rPr>
          <w:sz w:val="22"/>
        </w:rPr>
      </w:pPr>
    </w:p>
    <w:p w14:paraId="4CEE9BEA" w14:textId="77777777" w:rsidR="000F7EC9" w:rsidRDefault="00D316D8" w:rsidP="00D316D8">
      <w:pPr>
        <w:jc w:val="both"/>
        <w:rPr>
          <w:b/>
          <w:bCs/>
          <w:sz w:val="22"/>
        </w:rPr>
      </w:pPr>
      <w:r w:rsidRPr="00D316D8">
        <w:rPr>
          <w:b/>
          <w:bCs/>
          <w:sz w:val="22"/>
        </w:rPr>
        <w:t>Einfach und sicher: Spaltverstellung und Erkennung von Überlasten</w:t>
      </w:r>
    </w:p>
    <w:p w14:paraId="2AB25A77" w14:textId="272EF03D" w:rsidR="00D316D8" w:rsidRDefault="00D316D8" w:rsidP="00D316D8">
      <w:pPr>
        <w:jc w:val="both"/>
        <w:rPr>
          <w:sz w:val="22"/>
        </w:rPr>
      </w:pPr>
      <w:r w:rsidRPr="00D316D8">
        <w:rPr>
          <w:sz w:val="22"/>
        </w:rPr>
        <w:t>Ein weiteres Highlight der MR 100i NEO ist das vollhydraulische Spaltverstell- und Überlastsystem. Die Spaltverstellung sowie die Nullpunktermittlung erfolgt m</w:t>
      </w:r>
      <w:r w:rsidR="00812032">
        <w:rPr>
          <w:sz w:val="22"/>
        </w:rPr>
        <w:t>illimeter</w:t>
      </w:r>
      <w:r w:rsidRPr="00D316D8">
        <w:rPr>
          <w:sz w:val="22"/>
        </w:rPr>
        <w:t>genau per Knopfdruck</w:t>
      </w:r>
      <w:r>
        <w:rPr>
          <w:sz w:val="22"/>
        </w:rPr>
        <w:t xml:space="preserve">. Somit entfällt </w:t>
      </w:r>
      <w:r w:rsidRPr="00D316D8">
        <w:rPr>
          <w:sz w:val="22"/>
        </w:rPr>
        <w:t xml:space="preserve">händisches Ausmessen, das Lösen von Schrauben und die letztliche Positionierung. </w:t>
      </w:r>
    </w:p>
    <w:p w14:paraId="1F34C5B1" w14:textId="77777777" w:rsidR="00812032" w:rsidRPr="000F7EC9" w:rsidRDefault="00812032" w:rsidP="00D316D8">
      <w:pPr>
        <w:jc w:val="both"/>
        <w:rPr>
          <w:b/>
          <w:bCs/>
          <w:sz w:val="22"/>
        </w:rPr>
      </w:pPr>
    </w:p>
    <w:p w14:paraId="0C72699B" w14:textId="23F65623" w:rsidR="00F61557" w:rsidRDefault="00D316D8" w:rsidP="00D316D8">
      <w:pPr>
        <w:jc w:val="both"/>
        <w:rPr>
          <w:sz w:val="22"/>
        </w:rPr>
      </w:pPr>
      <w:r w:rsidRPr="00D316D8">
        <w:rPr>
          <w:sz w:val="22"/>
        </w:rPr>
        <w:t>Das Überlastsystem sorgt dafür, dass die Maschine selbst bei unbrechbarem Material, wie großen Eisenteilen, vor schwerwiegenden Schäden geschützt ist. Wird es ausgelöst, bricht die Druckplatte, sodass die Schwinge ausweichen kann. Das schützt den Rotor, die Schwinge und das Brechergehäuse effektiv</w:t>
      </w:r>
      <w:r w:rsidR="000F7EC9">
        <w:rPr>
          <w:sz w:val="22"/>
        </w:rPr>
        <w:t>.</w:t>
      </w:r>
      <w:r w:rsidR="000F7EC9" w:rsidRPr="000F7EC9">
        <w:t xml:space="preserve"> </w:t>
      </w:r>
      <w:r w:rsidR="000F7EC9" w:rsidRPr="000F7EC9">
        <w:rPr>
          <w:sz w:val="22"/>
        </w:rPr>
        <w:t xml:space="preserve">In einem solchen Fall </w:t>
      </w:r>
      <w:r w:rsidR="000F7EC9">
        <w:rPr>
          <w:sz w:val="22"/>
        </w:rPr>
        <w:t>wird</w:t>
      </w:r>
      <w:r w:rsidR="000F7EC9" w:rsidRPr="000F7EC9">
        <w:rPr>
          <w:sz w:val="22"/>
        </w:rPr>
        <w:t xml:space="preserve"> zwar die Druckplatte </w:t>
      </w:r>
      <w:r w:rsidR="000F7EC9">
        <w:rPr>
          <w:sz w:val="22"/>
        </w:rPr>
        <w:t xml:space="preserve">vom Bediener auf der Baustelle </w:t>
      </w:r>
      <w:r w:rsidR="000F7EC9" w:rsidRPr="000F7EC9">
        <w:rPr>
          <w:sz w:val="22"/>
        </w:rPr>
        <w:t>gewechselt, das ist aber deutlich günstiger als ein Schaden an der Schwinge oder im Brecher selbst.</w:t>
      </w:r>
      <w:r w:rsidR="000F7EC9">
        <w:rPr>
          <w:sz w:val="22"/>
        </w:rPr>
        <w:t xml:space="preserve"> </w:t>
      </w:r>
      <w:r w:rsidR="00672586">
        <w:rPr>
          <w:sz w:val="22"/>
        </w:rPr>
        <w:t xml:space="preserve"> </w:t>
      </w:r>
    </w:p>
    <w:p w14:paraId="5DE5139F" w14:textId="77777777" w:rsidR="00AB3522" w:rsidRDefault="00AB3522" w:rsidP="00D316D8">
      <w:pPr>
        <w:jc w:val="both"/>
        <w:rPr>
          <w:b/>
          <w:bCs/>
          <w:sz w:val="22"/>
        </w:rPr>
      </w:pPr>
    </w:p>
    <w:p w14:paraId="1BE7086E" w14:textId="77777777" w:rsidR="000F7EC9" w:rsidRDefault="000F7EC9" w:rsidP="00F61557">
      <w:pPr>
        <w:jc w:val="both"/>
        <w:rPr>
          <w:b/>
          <w:bCs/>
          <w:sz w:val="22"/>
        </w:rPr>
      </w:pPr>
      <w:r w:rsidRPr="000F7EC9">
        <w:rPr>
          <w:b/>
          <w:bCs/>
          <w:sz w:val="22"/>
        </w:rPr>
        <w:t xml:space="preserve">Einfache Handhabung durch SPECTIVE CONNECT </w:t>
      </w:r>
    </w:p>
    <w:p w14:paraId="159E24ED" w14:textId="08CECAAC" w:rsidR="00E52DC8" w:rsidRPr="00702699" w:rsidRDefault="000F7EC9" w:rsidP="00F61557">
      <w:pPr>
        <w:jc w:val="both"/>
        <w:rPr>
          <w:sz w:val="22"/>
          <w:szCs w:val="22"/>
        </w:rPr>
      </w:pPr>
      <w:r w:rsidRPr="000F7EC9">
        <w:rPr>
          <w:sz w:val="22"/>
        </w:rPr>
        <w:t xml:space="preserve">Die Bedienung der Anlage </w:t>
      </w:r>
      <w:r>
        <w:rPr>
          <w:sz w:val="22"/>
        </w:rPr>
        <w:t>ist dank</w:t>
      </w:r>
      <w:r w:rsidRPr="000F7EC9">
        <w:rPr>
          <w:sz w:val="22"/>
        </w:rPr>
        <w:t xml:space="preserve"> SPECTIVE CONNECT benutzerfreundlich. </w:t>
      </w:r>
      <w:r>
        <w:rPr>
          <w:sz w:val="22"/>
        </w:rPr>
        <w:t>Wichtige</w:t>
      </w:r>
      <w:r w:rsidRPr="000F7EC9">
        <w:rPr>
          <w:sz w:val="22"/>
        </w:rPr>
        <w:t xml:space="preserve"> Funktionen wie die Brechspalteinstellung, Fehlerbehebungen und zukünftig auch Produktionsdaten der Bandwaage </w:t>
      </w:r>
      <w:r>
        <w:rPr>
          <w:sz w:val="22"/>
        </w:rPr>
        <w:t xml:space="preserve">können aus der Ferne bequem </w:t>
      </w:r>
      <w:r w:rsidRPr="000F7EC9">
        <w:rPr>
          <w:sz w:val="22"/>
        </w:rPr>
        <w:t xml:space="preserve">eingesehen werden. Damit ist es auch weniger erfahrenen Mitarbeitern möglich, sich schnell einzuarbeiten und die Anlage sicher zu bedienen. „Die Handhabung der Maschine ist wirklich ein großes Plus für uns. Bei unserem vorherigen kleinen Prallbrecher konnten wir Einstellungen deutlich schwieriger vornehmen, geschweige denn gab es eine digitale Lösung, mit der wir eine solche umfangreiche Einsicht auf Maschinendaten usw. </w:t>
      </w:r>
      <w:r w:rsidRPr="00702699">
        <w:rPr>
          <w:sz w:val="22"/>
          <w:szCs w:val="22"/>
        </w:rPr>
        <w:lastRenderedPageBreak/>
        <w:t xml:space="preserve">bekamen. SPECTIVE CONNECT ist hier echt ein Gewinn“, so Wouter Fahner, Geschäftsführer </w:t>
      </w:r>
      <w:r w:rsidR="00702699" w:rsidRPr="00702699">
        <w:rPr>
          <w:sz w:val="22"/>
          <w:szCs w:val="22"/>
        </w:rPr>
        <w:t xml:space="preserve">der </w:t>
      </w:r>
      <w:r w:rsidR="00702699" w:rsidRPr="00702699">
        <w:rPr>
          <w:rFonts w:eastAsiaTheme="minorHAnsi" w:cstheme="minorBidi"/>
          <w:sz w:val="22"/>
          <w:szCs w:val="22"/>
        </w:rPr>
        <w:t>E+F Recycling GmbH</w:t>
      </w:r>
      <w:r w:rsidRPr="00702699">
        <w:rPr>
          <w:sz w:val="22"/>
          <w:szCs w:val="22"/>
        </w:rPr>
        <w:t>.</w:t>
      </w:r>
    </w:p>
    <w:p w14:paraId="5B2B80D0" w14:textId="77777777" w:rsidR="001E644E" w:rsidRDefault="001E644E" w:rsidP="00F61557">
      <w:pPr>
        <w:jc w:val="both"/>
        <w:rPr>
          <w:sz w:val="22"/>
        </w:rPr>
      </w:pPr>
    </w:p>
    <w:p w14:paraId="7F4CC8A3" w14:textId="4C8DEB24" w:rsidR="001E644E" w:rsidRDefault="001E644E" w:rsidP="001E644E">
      <w:pPr>
        <w:jc w:val="both"/>
        <w:rPr>
          <w:b/>
          <w:bCs/>
          <w:sz w:val="22"/>
        </w:rPr>
      </w:pPr>
      <w:r>
        <w:rPr>
          <w:b/>
          <w:bCs/>
          <w:sz w:val="22"/>
        </w:rPr>
        <w:t>Zufrieden mit der Zusammenarbeit</w:t>
      </w:r>
    </w:p>
    <w:p w14:paraId="4AA4A4B2" w14:textId="628D27B2" w:rsidR="001E644E" w:rsidRDefault="001E644E" w:rsidP="001E644E">
      <w:pPr>
        <w:jc w:val="both"/>
        <w:rPr>
          <w:sz w:val="22"/>
        </w:rPr>
      </w:pPr>
      <w:r w:rsidRPr="001E644E">
        <w:rPr>
          <w:sz w:val="22"/>
        </w:rPr>
        <w:t xml:space="preserve">Bei der Entscheidung für </w:t>
      </w:r>
      <w:r>
        <w:rPr>
          <w:sz w:val="22"/>
        </w:rPr>
        <w:t>den neuen Kompaktbrecher</w:t>
      </w:r>
      <w:r w:rsidRPr="001E644E">
        <w:rPr>
          <w:sz w:val="22"/>
        </w:rPr>
        <w:t xml:space="preserve"> gaben neben den positiven Eindrücken vor Ort im Göppinger Kleemann Werk auch die </w:t>
      </w:r>
      <w:r w:rsidR="003419A5">
        <w:rPr>
          <w:sz w:val="22"/>
        </w:rPr>
        <w:t>Fach-b</w:t>
      </w:r>
      <w:r w:rsidRPr="001E644E">
        <w:rPr>
          <w:sz w:val="22"/>
        </w:rPr>
        <w:t xml:space="preserve">eratung durch den Kleemann Experten von Wirtgen Deutschland den Ausschlag. </w:t>
      </w:r>
      <w:r w:rsidR="003419A5">
        <w:rPr>
          <w:sz w:val="22"/>
        </w:rPr>
        <w:t>Der Kunde</w:t>
      </w:r>
      <w:r w:rsidRPr="001E644E">
        <w:rPr>
          <w:sz w:val="22"/>
        </w:rPr>
        <w:t xml:space="preserve"> </w:t>
      </w:r>
      <w:r>
        <w:rPr>
          <w:sz w:val="22"/>
        </w:rPr>
        <w:t xml:space="preserve">schätzt </w:t>
      </w:r>
      <w:r w:rsidRPr="001E644E">
        <w:rPr>
          <w:sz w:val="22"/>
        </w:rPr>
        <w:t>die Nähe zum norddeutschen Standort</w:t>
      </w:r>
      <w:r w:rsidR="003419A5" w:rsidRPr="00702699">
        <w:rPr>
          <w:sz w:val="22"/>
        </w:rPr>
        <w:t xml:space="preserve"> der deutschen</w:t>
      </w:r>
      <w:r w:rsidR="003419A5">
        <w:t xml:space="preserve"> </w:t>
      </w:r>
      <w:r w:rsidR="003419A5" w:rsidRPr="003419A5">
        <w:rPr>
          <w:sz w:val="22"/>
        </w:rPr>
        <w:t>Wirtgen Group</w:t>
      </w:r>
      <w:r w:rsidR="003419A5">
        <w:rPr>
          <w:sz w:val="22"/>
        </w:rPr>
        <w:t xml:space="preserve"> Vertriebs- und Servicegesellschaft</w:t>
      </w:r>
      <w:r w:rsidR="0053240C">
        <w:rPr>
          <w:sz w:val="22"/>
        </w:rPr>
        <w:t>, denn s</w:t>
      </w:r>
      <w:r w:rsidRPr="001E644E">
        <w:rPr>
          <w:sz w:val="22"/>
        </w:rPr>
        <w:t xml:space="preserve">o lassen sich Verschleiß- und Ersatzteile </w:t>
      </w:r>
      <w:r w:rsidR="003419A5" w:rsidRPr="003419A5">
        <w:rPr>
          <w:sz w:val="22"/>
        </w:rPr>
        <w:t xml:space="preserve">unkompliziert </w:t>
      </w:r>
      <w:r w:rsidRPr="001E644E">
        <w:rPr>
          <w:sz w:val="22"/>
        </w:rPr>
        <w:t xml:space="preserve">bestellen und auch ein Servicemitarbeiter ist bei Problemen </w:t>
      </w:r>
      <w:r>
        <w:rPr>
          <w:sz w:val="22"/>
        </w:rPr>
        <w:t xml:space="preserve">schnell </w:t>
      </w:r>
      <w:r w:rsidRPr="001E644E">
        <w:rPr>
          <w:sz w:val="22"/>
        </w:rPr>
        <w:t>zur Stelle.</w:t>
      </w:r>
      <w:r>
        <w:rPr>
          <w:sz w:val="22"/>
        </w:rPr>
        <w:t xml:space="preserve"> </w:t>
      </w:r>
    </w:p>
    <w:p w14:paraId="2BA4F6E9" w14:textId="77777777" w:rsidR="0053240C" w:rsidRDefault="0053240C" w:rsidP="001E644E">
      <w:pPr>
        <w:jc w:val="both"/>
        <w:rPr>
          <w:sz w:val="22"/>
        </w:rPr>
      </w:pPr>
    </w:p>
    <w:p w14:paraId="3FBA10B2" w14:textId="52357164" w:rsidR="001E644E" w:rsidRDefault="001E644E" w:rsidP="001E644E">
      <w:pPr>
        <w:jc w:val="both"/>
        <w:rPr>
          <w:sz w:val="22"/>
        </w:rPr>
      </w:pPr>
      <w:r w:rsidRPr="001E644E">
        <w:rPr>
          <w:sz w:val="22"/>
        </w:rPr>
        <w:t xml:space="preserve">Neben der MR 100i NEO setzt das </w:t>
      </w:r>
      <w:r w:rsidR="003419A5">
        <w:rPr>
          <w:sz w:val="22"/>
        </w:rPr>
        <w:t>Recycling-</w:t>
      </w:r>
      <w:r w:rsidRPr="001E644E">
        <w:rPr>
          <w:sz w:val="22"/>
        </w:rPr>
        <w:t>Unternehmen auf ein mobiles Haldenband MOBIBELT MBT 24i</w:t>
      </w:r>
      <w:r>
        <w:rPr>
          <w:sz w:val="22"/>
        </w:rPr>
        <w:t xml:space="preserve"> zur Optimierung der Baustellenlogistik. </w:t>
      </w:r>
      <w:r w:rsidRPr="001E644E">
        <w:rPr>
          <w:sz w:val="22"/>
        </w:rPr>
        <w:t>Zum Maschinenpark gehört zudem die mobile Grobstücksiebanlage MOBISCREEN MSS 802i EVO</w:t>
      </w:r>
      <w:r>
        <w:rPr>
          <w:sz w:val="22"/>
        </w:rPr>
        <w:t xml:space="preserve"> und bald </w:t>
      </w:r>
      <w:r w:rsidR="0053240C">
        <w:rPr>
          <w:sz w:val="22"/>
        </w:rPr>
        <w:t xml:space="preserve">die kleinere MOBISCREEN </w:t>
      </w:r>
      <w:r w:rsidRPr="001E644E">
        <w:rPr>
          <w:sz w:val="22"/>
        </w:rPr>
        <w:t xml:space="preserve">MSS 502i EVO </w:t>
      </w:r>
      <w:r w:rsidR="0053240C">
        <w:rPr>
          <w:sz w:val="22"/>
        </w:rPr>
        <w:t>– beide werden u.</w:t>
      </w:r>
      <w:r w:rsidR="003419A5">
        <w:rPr>
          <w:sz w:val="22"/>
        </w:rPr>
        <w:t xml:space="preserve"> </w:t>
      </w:r>
      <w:r w:rsidR="0053240C">
        <w:rPr>
          <w:sz w:val="22"/>
        </w:rPr>
        <w:t xml:space="preserve">a. </w:t>
      </w:r>
      <w:r w:rsidRPr="001E644E">
        <w:rPr>
          <w:sz w:val="22"/>
        </w:rPr>
        <w:t>für die Bodenaufbereitung eingesetzt</w:t>
      </w:r>
      <w:r w:rsidR="0053240C">
        <w:rPr>
          <w:sz w:val="22"/>
        </w:rPr>
        <w:t>.</w:t>
      </w:r>
    </w:p>
    <w:p w14:paraId="5BD9614A" w14:textId="2305CBB5" w:rsidR="001E644E" w:rsidRDefault="001E644E" w:rsidP="001E644E">
      <w:pPr>
        <w:jc w:val="both"/>
        <w:rPr>
          <w:sz w:val="22"/>
        </w:rPr>
      </w:pPr>
    </w:p>
    <w:p w14:paraId="39A7223D" w14:textId="77777777" w:rsidR="001E644E" w:rsidRDefault="001E644E" w:rsidP="001E644E">
      <w:pPr>
        <w:jc w:val="both"/>
        <w:rPr>
          <w:sz w:val="22"/>
        </w:rPr>
      </w:pPr>
    </w:p>
    <w:p w14:paraId="6154F3F7" w14:textId="77777777" w:rsidR="00F61557" w:rsidRDefault="00F61557" w:rsidP="00F61557">
      <w:pPr>
        <w:jc w:val="both"/>
        <w:rPr>
          <w:sz w:val="22"/>
        </w:rPr>
      </w:pPr>
    </w:p>
    <w:p w14:paraId="413D7BF3" w14:textId="009C29D1" w:rsidR="007504F3" w:rsidRPr="007504F3" w:rsidRDefault="007504F3" w:rsidP="007504F3">
      <w:pPr>
        <w:rPr>
          <w:b/>
          <w:bCs/>
          <w:sz w:val="22"/>
          <w:szCs w:val="22"/>
        </w:rPr>
      </w:pPr>
      <w:r w:rsidRPr="007504F3">
        <w:rPr>
          <w:b/>
          <w:bCs/>
          <w:sz w:val="22"/>
          <w:szCs w:val="22"/>
        </w:rPr>
        <w:t>Fotos:</w:t>
      </w:r>
    </w:p>
    <w:p w14:paraId="6EC8F549" w14:textId="77777777" w:rsidR="007504F3" w:rsidRDefault="007504F3" w:rsidP="007504F3">
      <w:pPr>
        <w:rPr>
          <w:rFonts w:eastAsiaTheme="minorHAnsi" w:cstheme="minorBidi"/>
          <w:b/>
          <w:sz w:val="22"/>
          <w:szCs w:val="24"/>
        </w:rPr>
      </w:pPr>
    </w:p>
    <w:p w14:paraId="1C468373" w14:textId="77777777" w:rsidR="00702699" w:rsidRPr="005C1688" w:rsidRDefault="00702699" w:rsidP="00702699">
      <w:pPr>
        <w:rPr>
          <w:rFonts w:eastAsiaTheme="minorHAnsi" w:cstheme="minorBidi"/>
          <w:b/>
          <w:sz w:val="20"/>
          <w:szCs w:val="24"/>
          <w:lang w:val="en-US"/>
        </w:rPr>
      </w:pPr>
      <w:r>
        <w:rPr>
          <w:noProof/>
        </w:rPr>
        <w:drawing>
          <wp:inline distT="0" distB="0" distL="0" distR="0" wp14:anchorId="12F2CFF4" wp14:editId="08206D74">
            <wp:extent cx="2597150" cy="1947863"/>
            <wp:effectExtent l="0" t="0" r="0" b="0"/>
            <wp:docPr id="1160714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602922" cy="1952192"/>
                    </a:xfrm>
                    <a:prstGeom prst="rect">
                      <a:avLst/>
                    </a:prstGeom>
                    <a:noFill/>
                    <a:ln>
                      <a:noFill/>
                    </a:ln>
                  </pic:spPr>
                </pic:pic>
              </a:graphicData>
            </a:graphic>
          </wp:inline>
        </w:drawing>
      </w:r>
    </w:p>
    <w:p w14:paraId="582D95FD" w14:textId="13DD1835" w:rsidR="00702699" w:rsidRPr="00E00F9F" w:rsidRDefault="00702699" w:rsidP="00702699">
      <w:pPr>
        <w:rPr>
          <w:rFonts w:eastAsiaTheme="minorHAnsi" w:cstheme="minorBidi"/>
          <w:b/>
          <w:sz w:val="20"/>
          <w:szCs w:val="24"/>
        </w:rPr>
      </w:pPr>
      <w:r w:rsidRPr="00E00F9F">
        <w:rPr>
          <w:rFonts w:eastAsiaTheme="minorHAnsi" w:cstheme="minorBidi"/>
          <w:b/>
          <w:sz w:val="20"/>
          <w:szCs w:val="24"/>
        </w:rPr>
        <w:t>Kleemann_MR 100 NEO_Recycling_</w:t>
      </w:r>
      <w:r>
        <w:rPr>
          <w:rFonts w:eastAsiaTheme="minorHAnsi" w:cstheme="minorBidi"/>
          <w:b/>
          <w:sz w:val="20"/>
          <w:szCs w:val="24"/>
        </w:rPr>
        <w:t>1</w:t>
      </w:r>
    </w:p>
    <w:p w14:paraId="780529B3" w14:textId="273D2F84" w:rsidR="00702699" w:rsidRDefault="00702699" w:rsidP="00702699">
      <w:pPr>
        <w:rPr>
          <w:rFonts w:eastAsiaTheme="minorHAnsi" w:cstheme="minorBidi"/>
          <w:b/>
          <w:sz w:val="22"/>
          <w:szCs w:val="24"/>
        </w:rPr>
      </w:pPr>
      <w:r w:rsidRPr="001F72FE">
        <w:rPr>
          <w:rFonts w:eastAsiaTheme="minorHAnsi" w:cstheme="minorBidi"/>
          <w:sz w:val="20"/>
          <w:szCs w:val="20"/>
        </w:rPr>
        <w:t>Die MR 100i NEO im Recycling-Einsatz</w:t>
      </w:r>
      <w:r>
        <w:rPr>
          <w:rFonts w:eastAsiaTheme="minorHAnsi" w:cstheme="minorBidi"/>
          <w:sz w:val="20"/>
          <w:szCs w:val="20"/>
        </w:rPr>
        <w:t xml:space="preserve"> in Nordhorn nahe der niederländischen Grenze. </w:t>
      </w:r>
    </w:p>
    <w:p w14:paraId="4562665A" w14:textId="77777777" w:rsidR="00702699" w:rsidRPr="007504F3" w:rsidRDefault="00702699" w:rsidP="007504F3">
      <w:pPr>
        <w:rPr>
          <w:rFonts w:eastAsiaTheme="minorHAnsi" w:cstheme="minorBidi"/>
          <w:b/>
          <w:sz w:val="22"/>
          <w:szCs w:val="24"/>
        </w:rPr>
      </w:pPr>
    </w:p>
    <w:p w14:paraId="00262205" w14:textId="735C42FB" w:rsidR="005C1688" w:rsidRPr="007504F3" w:rsidRDefault="0053240C" w:rsidP="007504F3">
      <w:pPr>
        <w:rPr>
          <w:rFonts w:eastAsiaTheme="minorHAnsi" w:cstheme="minorBidi"/>
          <w:b/>
          <w:sz w:val="20"/>
          <w:szCs w:val="24"/>
        </w:rPr>
      </w:pPr>
      <w:r>
        <w:rPr>
          <w:noProof/>
          <w:sz w:val="24"/>
          <w:szCs w:val="24"/>
        </w:rPr>
        <w:drawing>
          <wp:inline distT="0" distB="0" distL="0" distR="0" wp14:anchorId="358296B6" wp14:editId="0C43F45F">
            <wp:extent cx="2597150" cy="1948721"/>
            <wp:effectExtent l="0" t="0" r="0" b="0"/>
            <wp:docPr id="14385415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611577" cy="1959546"/>
                    </a:xfrm>
                    <a:prstGeom prst="rect">
                      <a:avLst/>
                    </a:prstGeom>
                    <a:noFill/>
                    <a:ln>
                      <a:noFill/>
                    </a:ln>
                  </pic:spPr>
                </pic:pic>
              </a:graphicData>
            </a:graphic>
          </wp:inline>
        </w:drawing>
      </w:r>
    </w:p>
    <w:p w14:paraId="24749456" w14:textId="6C95DC71" w:rsidR="007504F3" w:rsidRPr="00702699" w:rsidRDefault="007504F3" w:rsidP="007504F3">
      <w:pPr>
        <w:rPr>
          <w:rFonts w:eastAsiaTheme="minorHAnsi" w:cstheme="minorBidi"/>
          <w:b/>
          <w:sz w:val="20"/>
          <w:szCs w:val="24"/>
        </w:rPr>
      </w:pPr>
      <w:r w:rsidRPr="00702699">
        <w:rPr>
          <w:rFonts w:eastAsiaTheme="minorHAnsi" w:cstheme="minorBidi"/>
          <w:b/>
          <w:sz w:val="20"/>
          <w:szCs w:val="24"/>
        </w:rPr>
        <w:t>Kleemann_</w:t>
      </w:r>
      <w:r w:rsidR="0053240C" w:rsidRPr="00702699">
        <w:rPr>
          <w:rFonts w:eastAsiaTheme="minorHAnsi" w:cstheme="minorBidi"/>
          <w:b/>
          <w:sz w:val="20"/>
          <w:szCs w:val="24"/>
        </w:rPr>
        <w:t>MR 100 NEO_Recycling_</w:t>
      </w:r>
      <w:r w:rsidR="00702699">
        <w:rPr>
          <w:rFonts w:eastAsiaTheme="minorHAnsi" w:cstheme="minorBidi"/>
          <w:b/>
          <w:sz w:val="20"/>
          <w:szCs w:val="24"/>
        </w:rPr>
        <w:t>2</w:t>
      </w:r>
    </w:p>
    <w:p w14:paraId="276B60F0" w14:textId="0A5DA8FE" w:rsidR="007504F3" w:rsidRDefault="001F72FE" w:rsidP="007504F3">
      <w:pPr>
        <w:spacing w:after="220"/>
        <w:jc w:val="both"/>
        <w:rPr>
          <w:rFonts w:eastAsiaTheme="minorHAnsi" w:cstheme="minorBidi"/>
          <w:sz w:val="20"/>
          <w:szCs w:val="20"/>
        </w:rPr>
      </w:pPr>
      <w:r w:rsidRPr="001F72FE">
        <w:rPr>
          <w:rFonts w:eastAsiaTheme="minorHAnsi" w:cstheme="minorBidi"/>
          <w:sz w:val="20"/>
          <w:szCs w:val="20"/>
        </w:rPr>
        <w:t xml:space="preserve">Das Unternehmerpaar Natalie Eiswert und Wouter Fahner </w:t>
      </w:r>
      <w:r>
        <w:rPr>
          <w:rFonts w:eastAsiaTheme="minorHAnsi" w:cstheme="minorBidi"/>
          <w:sz w:val="20"/>
          <w:szCs w:val="20"/>
        </w:rPr>
        <w:t xml:space="preserve">von E+F Recycling </w:t>
      </w:r>
      <w:r w:rsidRPr="001F72FE">
        <w:rPr>
          <w:rFonts w:eastAsiaTheme="minorHAnsi" w:cstheme="minorBidi"/>
          <w:sz w:val="20"/>
          <w:szCs w:val="20"/>
        </w:rPr>
        <w:t>bei der Maschinenübergabe der MOBIREX MR 100i NEO im Kleemann Werk in Göppingen.</w:t>
      </w:r>
    </w:p>
    <w:p w14:paraId="069667C5" w14:textId="77777777" w:rsidR="00BA2CB5" w:rsidRPr="007504F3" w:rsidRDefault="00BA2CB5" w:rsidP="007504F3">
      <w:pPr>
        <w:spacing w:after="220"/>
        <w:jc w:val="both"/>
        <w:rPr>
          <w:rFonts w:eastAsiaTheme="minorHAnsi" w:cstheme="minorBidi"/>
          <w:sz w:val="20"/>
          <w:szCs w:val="20"/>
        </w:rPr>
      </w:pPr>
    </w:p>
    <w:p w14:paraId="2ED25C4C" w14:textId="4A70EB0F" w:rsidR="001F72FE" w:rsidRDefault="001F72FE">
      <w:pPr>
        <w:rPr>
          <w:rFonts w:eastAsiaTheme="minorHAnsi" w:cstheme="minorBidi"/>
          <w:sz w:val="20"/>
          <w:szCs w:val="20"/>
        </w:rPr>
      </w:pPr>
      <w:r>
        <w:rPr>
          <w:noProof/>
        </w:rPr>
        <w:drawing>
          <wp:inline distT="0" distB="0" distL="0" distR="0" wp14:anchorId="68F680AE" wp14:editId="60A10E4E">
            <wp:extent cx="2590800" cy="1944171"/>
            <wp:effectExtent l="0" t="0" r="0" b="0"/>
            <wp:docPr id="104374739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612154" cy="1960196"/>
                    </a:xfrm>
                    <a:prstGeom prst="rect">
                      <a:avLst/>
                    </a:prstGeom>
                    <a:noFill/>
                    <a:ln>
                      <a:noFill/>
                    </a:ln>
                  </pic:spPr>
                </pic:pic>
              </a:graphicData>
            </a:graphic>
          </wp:inline>
        </w:drawing>
      </w:r>
    </w:p>
    <w:p w14:paraId="36E22AC8" w14:textId="3BF9179A" w:rsidR="001F72FE" w:rsidRPr="00702699" w:rsidRDefault="001F72FE" w:rsidP="001F72FE">
      <w:pPr>
        <w:rPr>
          <w:rFonts w:eastAsiaTheme="minorHAnsi" w:cstheme="minorBidi"/>
          <w:b/>
          <w:sz w:val="20"/>
          <w:szCs w:val="24"/>
        </w:rPr>
      </w:pPr>
      <w:r w:rsidRPr="00702699">
        <w:rPr>
          <w:rFonts w:eastAsiaTheme="minorHAnsi" w:cstheme="minorBidi"/>
          <w:b/>
          <w:sz w:val="20"/>
          <w:szCs w:val="24"/>
        </w:rPr>
        <w:t>Kleemann_MR 100 NEO_Recycling_3</w:t>
      </w:r>
    </w:p>
    <w:p w14:paraId="641561F4" w14:textId="3683BA01" w:rsidR="009641DA" w:rsidRPr="009641DA" w:rsidRDefault="005B1A55" w:rsidP="009641DA">
      <w:pPr>
        <w:rPr>
          <w:rFonts w:eastAsiaTheme="minorHAnsi" w:cstheme="minorBidi"/>
          <w:sz w:val="20"/>
          <w:szCs w:val="20"/>
        </w:rPr>
      </w:pPr>
      <w:r>
        <w:rPr>
          <w:rFonts w:eastAsiaTheme="minorHAnsi" w:cstheme="minorBidi"/>
          <w:sz w:val="20"/>
          <w:szCs w:val="20"/>
        </w:rPr>
        <w:t>Die MR 100i NEO ausgestattet mit kraftvollem Magnetabscheider</w:t>
      </w:r>
      <w:r w:rsidR="00702699">
        <w:rPr>
          <w:rFonts w:eastAsiaTheme="minorHAnsi" w:cstheme="minorBidi"/>
          <w:sz w:val="20"/>
          <w:szCs w:val="20"/>
        </w:rPr>
        <w:t xml:space="preserve"> für eine gute Endproduktqualität</w:t>
      </w:r>
      <w:r>
        <w:rPr>
          <w:rFonts w:eastAsiaTheme="minorHAnsi" w:cstheme="minorBidi"/>
          <w:sz w:val="20"/>
          <w:szCs w:val="20"/>
        </w:rPr>
        <w:t>.</w:t>
      </w:r>
    </w:p>
    <w:p w14:paraId="6B8E2047" w14:textId="77777777" w:rsidR="005B1A55" w:rsidRDefault="005B1A55" w:rsidP="007504F3">
      <w:pPr>
        <w:spacing w:before="220" w:after="440"/>
        <w:rPr>
          <w:rFonts w:eastAsiaTheme="minorHAnsi" w:cstheme="minorBidi"/>
          <w:i/>
          <w:color w:val="000000"/>
          <w:sz w:val="20"/>
          <w:szCs w:val="20"/>
          <w:lang w:eastAsia="de-DE"/>
        </w:rPr>
      </w:pPr>
    </w:p>
    <w:p w14:paraId="40D3DAB8" w14:textId="5AE3ADC4" w:rsidR="007504F3" w:rsidRDefault="007504F3" w:rsidP="007504F3">
      <w:pPr>
        <w:spacing w:before="220" w:after="440"/>
        <w:rPr>
          <w:rFonts w:eastAsiaTheme="minorHAnsi" w:cstheme="minorBidi"/>
          <w:i/>
          <w:color w:val="000000"/>
          <w:sz w:val="20"/>
          <w:szCs w:val="20"/>
          <w:lang w:eastAsia="de-DE"/>
        </w:rPr>
      </w:pPr>
      <w:r w:rsidRPr="007504F3">
        <w:rPr>
          <w:rFonts w:eastAsiaTheme="minorHAnsi" w:cstheme="minorBidi"/>
          <w:i/>
          <w:color w:val="000000"/>
          <w:sz w:val="20"/>
          <w:szCs w:val="20"/>
          <w:lang w:eastAsia="de-DE"/>
        </w:rPr>
        <w:t xml:space="preserve">Hinweis: Diese Fotos dienen lediglich der Voransicht. Für den </w:t>
      </w:r>
      <w:r w:rsidRPr="007504F3">
        <w:rPr>
          <w:rFonts w:eastAsiaTheme="minorHAnsi" w:cstheme="minorBidi"/>
          <w:i/>
          <w:color w:val="000000"/>
          <w:sz w:val="20"/>
          <w:szCs w:val="20"/>
        </w:rPr>
        <w:t>Abdruck</w:t>
      </w:r>
      <w:r w:rsidRPr="007504F3">
        <w:rPr>
          <w:rFonts w:eastAsiaTheme="minorHAnsi" w:cstheme="minorBidi"/>
          <w:i/>
          <w:color w:val="000000"/>
          <w:sz w:val="20"/>
          <w:szCs w:val="20"/>
          <w:lang w:eastAsia="de-DE"/>
        </w:rPr>
        <w:t xml:space="preserve"> in den Publikationen nutzen Sie bitte die Fotos in 300 dpi-Auflösung, die in beigefügtem Download zur Verfügung stehen.</w:t>
      </w:r>
    </w:p>
    <w:p w14:paraId="0E6292C8" w14:textId="77777777" w:rsidR="00812032" w:rsidRDefault="00812032" w:rsidP="007504F3">
      <w:pPr>
        <w:spacing w:before="220" w:after="440"/>
        <w:rPr>
          <w:rFonts w:eastAsiaTheme="minorHAnsi" w:cstheme="minorBidi"/>
          <w:i/>
          <w:color w:val="000000"/>
          <w:sz w:val="20"/>
          <w:szCs w:val="20"/>
          <w:lang w:eastAsia="de-DE"/>
        </w:rPr>
      </w:pPr>
    </w:p>
    <w:p w14:paraId="69FEB596" w14:textId="53028CB9" w:rsidR="007504F3" w:rsidRPr="007504F3" w:rsidRDefault="007504F3" w:rsidP="007504F3">
      <w:pPr>
        <w:rPr>
          <w:rFonts w:eastAsiaTheme="minorHAnsi" w:cstheme="minorBidi"/>
          <w:b/>
          <w:iCs/>
          <w:sz w:val="22"/>
          <w:szCs w:val="24"/>
        </w:rPr>
      </w:pPr>
      <w:r w:rsidRPr="007504F3">
        <w:rPr>
          <w:rFonts w:eastAsiaTheme="minorHAnsi" w:cstheme="minorBidi"/>
          <w:b/>
          <w:iCs/>
          <w:sz w:val="22"/>
          <w:szCs w:val="24"/>
        </w:rPr>
        <w:t>Weitere Informationen erhalten Sie bei:</w:t>
      </w:r>
    </w:p>
    <w:p w14:paraId="6B891BFF" w14:textId="77777777" w:rsidR="007504F3" w:rsidRPr="007504F3" w:rsidRDefault="007504F3" w:rsidP="007504F3">
      <w:pPr>
        <w:rPr>
          <w:rFonts w:eastAsiaTheme="minorHAnsi" w:cstheme="minorBidi"/>
          <w:b/>
          <w:sz w:val="22"/>
          <w:szCs w:val="24"/>
        </w:rPr>
      </w:pPr>
    </w:p>
    <w:p w14:paraId="0604040B" w14:textId="77777777" w:rsidR="007504F3" w:rsidRPr="007504F3" w:rsidRDefault="007504F3" w:rsidP="007504F3">
      <w:pPr>
        <w:rPr>
          <w:rFonts w:eastAsiaTheme="minorHAnsi" w:cstheme="minorBidi"/>
          <w:bCs/>
          <w:sz w:val="22"/>
          <w:szCs w:val="22"/>
        </w:rPr>
      </w:pPr>
      <w:r w:rsidRPr="007504F3">
        <w:rPr>
          <w:rFonts w:eastAsiaTheme="minorHAnsi" w:cstheme="minorBidi"/>
          <w:bCs/>
          <w:sz w:val="22"/>
          <w:szCs w:val="24"/>
        </w:rPr>
        <w:t>WIRTGEN GROUP</w:t>
      </w:r>
    </w:p>
    <w:p w14:paraId="631BDDF4" w14:textId="77777777" w:rsidR="007504F3" w:rsidRPr="007504F3" w:rsidRDefault="007504F3" w:rsidP="007504F3">
      <w:pPr>
        <w:rPr>
          <w:rFonts w:eastAsiaTheme="minorHAnsi" w:cstheme="minorBidi"/>
          <w:bCs/>
          <w:iCs/>
          <w:sz w:val="22"/>
          <w:szCs w:val="22"/>
        </w:rPr>
      </w:pPr>
      <w:r w:rsidRPr="007504F3">
        <w:rPr>
          <w:rFonts w:eastAsiaTheme="minorHAnsi" w:cstheme="minorBidi"/>
          <w:bCs/>
          <w:iCs/>
          <w:sz w:val="22"/>
          <w:szCs w:val="22"/>
        </w:rPr>
        <w:t>Public Relations</w:t>
      </w:r>
    </w:p>
    <w:p w14:paraId="3F1ED02D" w14:textId="77777777" w:rsidR="007504F3" w:rsidRPr="007504F3" w:rsidRDefault="007504F3" w:rsidP="007504F3">
      <w:pPr>
        <w:rPr>
          <w:rFonts w:eastAsiaTheme="minorHAnsi" w:cstheme="minorBidi"/>
          <w:bCs/>
          <w:iCs/>
          <w:sz w:val="22"/>
          <w:szCs w:val="22"/>
        </w:rPr>
      </w:pPr>
      <w:r w:rsidRPr="007504F3">
        <w:rPr>
          <w:rFonts w:eastAsiaTheme="minorHAnsi" w:cstheme="minorBidi"/>
          <w:bCs/>
          <w:iCs/>
          <w:sz w:val="22"/>
          <w:szCs w:val="22"/>
        </w:rPr>
        <w:t>Reinhard-Wirtgen-Straße 2</w:t>
      </w:r>
    </w:p>
    <w:p w14:paraId="1C2535D3" w14:textId="77777777" w:rsidR="007504F3" w:rsidRPr="007504F3" w:rsidRDefault="007504F3" w:rsidP="007504F3">
      <w:pPr>
        <w:rPr>
          <w:rFonts w:eastAsiaTheme="minorHAnsi" w:cstheme="minorBidi"/>
          <w:bCs/>
          <w:iCs/>
          <w:sz w:val="22"/>
          <w:szCs w:val="22"/>
        </w:rPr>
      </w:pPr>
      <w:r w:rsidRPr="007504F3">
        <w:rPr>
          <w:rFonts w:eastAsiaTheme="minorHAnsi" w:cstheme="minorBidi"/>
          <w:bCs/>
          <w:iCs/>
          <w:sz w:val="22"/>
          <w:szCs w:val="22"/>
        </w:rPr>
        <w:t>53578 Windhagen</w:t>
      </w:r>
    </w:p>
    <w:p w14:paraId="5A8EB392" w14:textId="77777777" w:rsidR="007504F3" w:rsidRPr="007504F3" w:rsidRDefault="007504F3" w:rsidP="007504F3">
      <w:pPr>
        <w:rPr>
          <w:rFonts w:eastAsiaTheme="minorHAnsi" w:cstheme="minorBidi"/>
          <w:bCs/>
          <w:iCs/>
          <w:sz w:val="22"/>
          <w:szCs w:val="22"/>
        </w:rPr>
      </w:pPr>
      <w:r w:rsidRPr="007504F3">
        <w:rPr>
          <w:rFonts w:eastAsiaTheme="minorHAnsi" w:cstheme="minorBidi"/>
          <w:bCs/>
          <w:iCs/>
          <w:sz w:val="22"/>
          <w:szCs w:val="22"/>
        </w:rPr>
        <w:t>Deutschland</w:t>
      </w:r>
    </w:p>
    <w:p w14:paraId="2F8BD2AA" w14:textId="77777777" w:rsidR="007504F3" w:rsidRPr="007504F3" w:rsidRDefault="007504F3" w:rsidP="007504F3">
      <w:pPr>
        <w:rPr>
          <w:rFonts w:eastAsiaTheme="minorHAnsi" w:cstheme="minorBidi"/>
          <w:bCs/>
          <w:iCs/>
          <w:sz w:val="22"/>
          <w:szCs w:val="22"/>
        </w:rPr>
      </w:pPr>
    </w:p>
    <w:p w14:paraId="221D8971" w14:textId="71DA7F53" w:rsidR="007504F3" w:rsidRPr="00F262CA" w:rsidRDefault="007504F3" w:rsidP="007504F3">
      <w:pPr>
        <w:rPr>
          <w:rFonts w:ascii="Times New Roman" w:eastAsiaTheme="minorHAnsi" w:hAnsi="Times New Roman"/>
          <w:bCs/>
          <w:iCs/>
          <w:sz w:val="22"/>
          <w:szCs w:val="22"/>
        </w:rPr>
      </w:pPr>
      <w:r w:rsidRPr="007504F3">
        <w:rPr>
          <w:rFonts w:eastAsiaTheme="minorHAnsi" w:cstheme="minorBidi"/>
          <w:bCs/>
          <w:iCs/>
          <w:sz w:val="22"/>
          <w:szCs w:val="22"/>
        </w:rPr>
        <w:t xml:space="preserve">Telefon: +49 (0) 2645 131 – </w:t>
      </w:r>
      <w:r w:rsidRPr="00F262CA">
        <w:rPr>
          <w:rFonts w:eastAsiaTheme="minorHAnsi" w:cstheme="minorBidi"/>
          <w:bCs/>
          <w:iCs/>
          <w:sz w:val="22"/>
          <w:szCs w:val="22"/>
        </w:rPr>
        <w:t>1966</w:t>
      </w:r>
    </w:p>
    <w:p w14:paraId="622E8B0A" w14:textId="77777777" w:rsidR="007504F3" w:rsidRPr="00F262CA" w:rsidRDefault="007504F3" w:rsidP="007504F3">
      <w:pPr>
        <w:rPr>
          <w:rFonts w:eastAsiaTheme="minorHAnsi" w:cstheme="minorBidi"/>
          <w:bCs/>
          <w:iCs/>
          <w:sz w:val="22"/>
          <w:szCs w:val="22"/>
        </w:rPr>
      </w:pPr>
      <w:r w:rsidRPr="00F262CA">
        <w:rPr>
          <w:rFonts w:eastAsiaTheme="minorHAnsi" w:cstheme="minorBidi"/>
          <w:bCs/>
          <w:iCs/>
          <w:sz w:val="22"/>
          <w:szCs w:val="22"/>
        </w:rPr>
        <w:t>Telefax: +49 (0) 2645 131 – 499</w:t>
      </w:r>
    </w:p>
    <w:p w14:paraId="2E98FA6A" w14:textId="0C13F74A" w:rsidR="007504F3" w:rsidRPr="007504F3" w:rsidRDefault="007504F3" w:rsidP="007504F3">
      <w:pPr>
        <w:rPr>
          <w:rFonts w:eastAsiaTheme="minorHAnsi" w:cstheme="minorBidi"/>
          <w:bCs/>
          <w:iCs/>
          <w:sz w:val="22"/>
          <w:szCs w:val="22"/>
        </w:rPr>
      </w:pPr>
      <w:r w:rsidRPr="007504F3">
        <w:rPr>
          <w:rFonts w:eastAsiaTheme="minorHAnsi" w:cstheme="minorBidi"/>
          <w:bCs/>
          <w:iCs/>
          <w:sz w:val="22"/>
          <w:szCs w:val="22"/>
        </w:rPr>
        <w:t>E-Mail: PR@wirtgen-group.com</w:t>
      </w:r>
    </w:p>
    <w:p w14:paraId="2A29322A" w14:textId="46234E0B" w:rsidR="00B409DF" w:rsidRPr="0090125B" w:rsidRDefault="007504F3" w:rsidP="0090125B">
      <w:pPr>
        <w:pStyle w:val="Fuzeile1"/>
      </w:pPr>
      <w:r w:rsidRPr="007504F3">
        <w:t>www.wirtgen-group.com</w:t>
      </w:r>
    </w:p>
    <w:sectPr w:rsidR="00B409DF" w:rsidRPr="0090125B"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25095FC1" w:rsidR="000278CB" w:rsidRDefault="007504F3">
    <w:pPr>
      <w:pStyle w:val="Kopfzeile"/>
    </w:pPr>
    <w:r>
      <w:rPr>
        <w:noProof/>
      </w:rPr>
      <mc:AlternateContent>
        <mc:Choice Requires="wps">
          <w:drawing>
            <wp:anchor distT="0" distB="0" distL="0" distR="0" simplePos="0" relativeHeight="251661312" behindDoc="0" locked="0" layoutInCell="1" allowOverlap="1" wp14:anchorId="73AB2E80" wp14:editId="45B63838">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20F520" w14:textId="6E6890A8" w:rsidR="007504F3" w:rsidRPr="007504F3" w:rsidRDefault="007504F3" w:rsidP="007504F3">
                          <w:pPr>
                            <w:rPr>
                              <w:rFonts w:ascii="Calibri" w:eastAsia="Calibri" w:hAnsi="Calibri" w:cs="Calibri"/>
                              <w:noProof/>
                              <w:color w:val="FF0000"/>
                              <w:sz w:val="20"/>
                              <w:szCs w:val="20"/>
                            </w:rPr>
                          </w:pPr>
                          <w:r w:rsidRPr="007504F3">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AB2E80"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F20F520" w14:textId="6E6890A8" w:rsidR="007504F3" w:rsidRPr="007504F3" w:rsidRDefault="007504F3" w:rsidP="007504F3">
                    <w:pPr>
                      <w:rPr>
                        <w:rFonts w:ascii="Calibri" w:eastAsia="Calibri" w:hAnsi="Calibri" w:cs="Calibri"/>
                        <w:noProof/>
                        <w:color w:val="FF0000"/>
                        <w:sz w:val="20"/>
                        <w:szCs w:val="20"/>
                      </w:rPr>
                    </w:pPr>
                    <w:r w:rsidRPr="007504F3">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F8F43C" w:rsidR="00533132" w:rsidRPr="00533132" w:rsidRDefault="007504F3" w:rsidP="00533132">
    <w:pPr>
      <w:pStyle w:val="Kopfzeile"/>
    </w:pPr>
    <w:r>
      <w:rPr>
        <w:noProof/>
      </w:rPr>
      <mc:AlternateContent>
        <mc:Choice Requires="wps">
          <w:drawing>
            <wp:anchor distT="0" distB="0" distL="0" distR="0" simplePos="0" relativeHeight="251662336" behindDoc="0" locked="0" layoutInCell="1" allowOverlap="1" wp14:anchorId="5ABE75F1" wp14:editId="5076EEB5">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608729" w14:textId="7D2E2E5F" w:rsidR="007504F3" w:rsidRPr="007504F3" w:rsidRDefault="007504F3" w:rsidP="007504F3">
                          <w:pPr>
                            <w:rPr>
                              <w:rFonts w:ascii="Calibri" w:eastAsia="Calibri" w:hAnsi="Calibri" w:cs="Calibri"/>
                              <w:noProof/>
                              <w:color w:val="FF0000"/>
                              <w:sz w:val="20"/>
                              <w:szCs w:val="20"/>
                            </w:rPr>
                          </w:pPr>
                          <w:r w:rsidRPr="007504F3">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ABE75F1"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7608729" w14:textId="7D2E2E5F" w:rsidR="007504F3" w:rsidRPr="007504F3" w:rsidRDefault="007504F3" w:rsidP="007504F3">
                    <w:pPr>
                      <w:rPr>
                        <w:rFonts w:ascii="Calibri" w:eastAsia="Calibri" w:hAnsi="Calibri" w:cs="Calibri"/>
                        <w:noProof/>
                        <w:color w:val="FF0000"/>
                        <w:sz w:val="20"/>
                        <w:szCs w:val="20"/>
                      </w:rPr>
                    </w:pPr>
                    <w:r w:rsidRPr="007504F3">
                      <w:rPr>
                        <w:rFonts w:ascii="Calibri" w:eastAsia="Calibri" w:hAnsi="Calibri" w:cs="Calibri"/>
                        <w:noProof/>
                        <w:color w:val="FF0000"/>
                        <w:sz w:val="20"/>
                        <w:szCs w:val="20"/>
                      </w:rPr>
                      <w:t>Public</w:t>
                    </w:r>
                  </w:p>
                </w:txbxContent>
              </v:textbox>
              <w10:wrap anchorx="page" anchory="page"/>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354A18D" w:rsidR="00533132" w:rsidRDefault="007504F3">
    <w:pPr>
      <w:pStyle w:val="Kopfzeile"/>
    </w:pPr>
    <w:r>
      <w:rPr>
        <w:noProof/>
        <w:lang w:eastAsia="zh-CN"/>
      </w:rPr>
      <mc:AlternateContent>
        <mc:Choice Requires="wps">
          <w:drawing>
            <wp:anchor distT="0" distB="0" distL="0" distR="0" simplePos="0" relativeHeight="251660288" behindDoc="0" locked="0" layoutInCell="1" allowOverlap="1" wp14:anchorId="40C699DB" wp14:editId="1739AEE7">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492E20" w14:textId="2C7B5F5D" w:rsidR="007504F3" w:rsidRPr="007504F3" w:rsidRDefault="007504F3" w:rsidP="007504F3">
                          <w:pPr>
                            <w:rPr>
                              <w:rFonts w:ascii="Calibri" w:eastAsia="Calibri" w:hAnsi="Calibri" w:cs="Calibri"/>
                              <w:noProof/>
                              <w:color w:val="FF0000"/>
                              <w:sz w:val="20"/>
                              <w:szCs w:val="20"/>
                            </w:rPr>
                          </w:pPr>
                          <w:r w:rsidRPr="007504F3">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0C699DB"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2492E20" w14:textId="2C7B5F5D" w:rsidR="007504F3" w:rsidRPr="007504F3" w:rsidRDefault="007504F3" w:rsidP="007504F3">
                    <w:pPr>
                      <w:rPr>
                        <w:rFonts w:ascii="Calibri" w:eastAsia="Calibri" w:hAnsi="Calibri" w:cs="Calibri"/>
                        <w:noProof/>
                        <w:color w:val="FF0000"/>
                        <w:sz w:val="20"/>
                        <w:szCs w:val="20"/>
                      </w:rPr>
                    </w:pPr>
                    <w:r w:rsidRPr="007504F3">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500pt;height:1500pt" o:bullet="t">
        <v:imagedata r:id="rId1" o:title="AZ_04a"/>
      </v:shape>
    </w:pict>
  </w:numPicBullet>
  <w:numPicBullet w:numPicBulletId="1">
    <w:pict>
      <v:shape id="_x0000_i103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94557916">
    <w:abstractNumId w:val="10"/>
  </w:num>
  <w:num w:numId="2" w16cid:durableId="908661252">
    <w:abstractNumId w:val="10"/>
  </w:num>
  <w:num w:numId="3" w16cid:durableId="1522009352">
    <w:abstractNumId w:val="10"/>
  </w:num>
  <w:num w:numId="4" w16cid:durableId="1777870210">
    <w:abstractNumId w:val="10"/>
  </w:num>
  <w:num w:numId="5" w16cid:durableId="1029532062">
    <w:abstractNumId w:val="10"/>
  </w:num>
  <w:num w:numId="6" w16cid:durableId="1426875070">
    <w:abstractNumId w:val="2"/>
  </w:num>
  <w:num w:numId="7" w16cid:durableId="1921450248">
    <w:abstractNumId w:val="2"/>
  </w:num>
  <w:num w:numId="8" w16cid:durableId="1898125561">
    <w:abstractNumId w:val="2"/>
  </w:num>
  <w:num w:numId="9" w16cid:durableId="1608468350">
    <w:abstractNumId w:val="2"/>
  </w:num>
  <w:num w:numId="10" w16cid:durableId="2081782612">
    <w:abstractNumId w:val="2"/>
  </w:num>
  <w:num w:numId="11" w16cid:durableId="502666121">
    <w:abstractNumId w:val="5"/>
  </w:num>
  <w:num w:numId="12" w16cid:durableId="1653370662">
    <w:abstractNumId w:val="5"/>
  </w:num>
  <w:num w:numId="13" w16cid:durableId="1004818568">
    <w:abstractNumId w:val="4"/>
  </w:num>
  <w:num w:numId="14" w16cid:durableId="362747687">
    <w:abstractNumId w:val="4"/>
  </w:num>
  <w:num w:numId="15" w16cid:durableId="323439770">
    <w:abstractNumId w:val="4"/>
  </w:num>
  <w:num w:numId="16" w16cid:durableId="538081209">
    <w:abstractNumId w:val="4"/>
  </w:num>
  <w:num w:numId="17" w16cid:durableId="1181747448">
    <w:abstractNumId w:val="4"/>
  </w:num>
  <w:num w:numId="18" w16cid:durableId="1033965028">
    <w:abstractNumId w:val="1"/>
  </w:num>
  <w:num w:numId="19" w16cid:durableId="1122924565">
    <w:abstractNumId w:val="3"/>
  </w:num>
  <w:num w:numId="20" w16cid:durableId="1482959910">
    <w:abstractNumId w:val="8"/>
  </w:num>
  <w:num w:numId="21" w16cid:durableId="14590322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85249193">
    <w:abstractNumId w:val="0"/>
  </w:num>
  <w:num w:numId="23" w16cid:durableId="1729132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51573539">
    <w:abstractNumId w:val="7"/>
  </w:num>
  <w:num w:numId="25" w16cid:durableId="2278066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20684040">
    <w:abstractNumId w:val="6"/>
  </w:num>
  <w:num w:numId="27" w16cid:durableId="209268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71788"/>
    <w:rsid w:val="00092620"/>
    <w:rsid w:val="0009665C"/>
    <w:rsid w:val="000A0479"/>
    <w:rsid w:val="000A36D9"/>
    <w:rsid w:val="000A4C7D"/>
    <w:rsid w:val="000B582B"/>
    <w:rsid w:val="000C7C82"/>
    <w:rsid w:val="000D15C3"/>
    <w:rsid w:val="000D357E"/>
    <w:rsid w:val="000E24F8"/>
    <w:rsid w:val="000E5738"/>
    <w:rsid w:val="000F3749"/>
    <w:rsid w:val="000F417B"/>
    <w:rsid w:val="000F66DF"/>
    <w:rsid w:val="000F7DFD"/>
    <w:rsid w:val="000F7EC9"/>
    <w:rsid w:val="00103205"/>
    <w:rsid w:val="00104095"/>
    <w:rsid w:val="0011795C"/>
    <w:rsid w:val="0012026F"/>
    <w:rsid w:val="00130601"/>
    <w:rsid w:val="00132055"/>
    <w:rsid w:val="001417FA"/>
    <w:rsid w:val="00143885"/>
    <w:rsid w:val="00146C3D"/>
    <w:rsid w:val="00153B47"/>
    <w:rsid w:val="001613A6"/>
    <w:rsid w:val="001614F0"/>
    <w:rsid w:val="001616F4"/>
    <w:rsid w:val="0018021A"/>
    <w:rsid w:val="00182D69"/>
    <w:rsid w:val="00193CE0"/>
    <w:rsid w:val="00194FB1"/>
    <w:rsid w:val="001966C4"/>
    <w:rsid w:val="001B16BB"/>
    <w:rsid w:val="001B34EE"/>
    <w:rsid w:val="001C1A3E"/>
    <w:rsid w:val="001E644E"/>
    <w:rsid w:val="001E72B2"/>
    <w:rsid w:val="001F359E"/>
    <w:rsid w:val="001F72FE"/>
    <w:rsid w:val="00200355"/>
    <w:rsid w:val="0021351D"/>
    <w:rsid w:val="00253A2E"/>
    <w:rsid w:val="002603EC"/>
    <w:rsid w:val="00276375"/>
    <w:rsid w:val="00282AFC"/>
    <w:rsid w:val="00286C15"/>
    <w:rsid w:val="0029634D"/>
    <w:rsid w:val="002C6F4F"/>
    <w:rsid w:val="002C7542"/>
    <w:rsid w:val="002D065C"/>
    <w:rsid w:val="002D0780"/>
    <w:rsid w:val="002D2EE5"/>
    <w:rsid w:val="002D63E6"/>
    <w:rsid w:val="002E44D3"/>
    <w:rsid w:val="002E55BA"/>
    <w:rsid w:val="002E619D"/>
    <w:rsid w:val="002E6AC6"/>
    <w:rsid w:val="002E765F"/>
    <w:rsid w:val="002E7E4E"/>
    <w:rsid w:val="002F108B"/>
    <w:rsid w:val="002F5818"/>
    <w:rsid w:val="002F70FD"/>
    <w:rsid w:val="002F7E0B"/>
    <w:rsid w:val="0030316D"/>
    <w:rsid w:val="00322DDA"/>
    <w:rsid w:val="0032774C"/>
    <w:rsid w:val="00332D28"/>
    <w:rsid w:val="00340E41"/>
    <w:rsid w:val="0034191A"/>
    <w:rsid w:val="003419A5"/>
    <w:rsid w:val="00343CC7"/>
    <w:rsid w:val="0036561D"/>
    <w:rsid w:val="003665BE"/>
    <w:rsid w:val="00384A08"/>
    <w:rsid w:val="003850A9"/>
    <w:rsid w:val="003967E5"/>
    <w:rsid w:val="003A753A"/>
    <w:rsid w:val="003B03D0"/>
    <w:rsid w:val="003B3803"/>
    <w:rsid w:val="003C1ADB"/>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50F4"/>
    <w:rsid w:val="00430BB0"/>
    <w:rsid w:val="00447649"/>
    <w:rsid w:val="00467F3C"/>
    <w:rsid w:val="0047498D"/>
    <w:rsid w:val="00475E06"/>
    <w:rsid w:val="00476100"/>
    <w:rsid w:val="00487BFC"/>
    <w:rsid w:val="004A1833"/>
    <w:rsid w:val="004B3E60"/>
    <w:rsid w:val="004C1967"/>
    <w:rsid w:val="004D23D0"/>
    <w:rsid w:val="004D2BE0"/>
    <w:rsid w:val="004E0A77"/>
    <w:rsid w:val="004E61FD"/>
    <w:rsid w:val="004E6EF5"/>
    <w:rsid w:val="004E74CA"/>
    <w:rsid w:val="004F7E40"/>
    <w:rsid w:val="00506409"/>
    <w:rsid w:val="0052124E"/>
    <w:rsid w:val="0052548C"/>
    <w:rsid w:val="00530E32"/>
    <w:rsid w:val="0053240C"/>
    <w:rsid w:val="00532D3C"/>
    <w:rsid w:val="00533132"/>
    <w:rsid w:val="00534889"/>
    <w:rsid w:val="00537210"/>
    <w:rsid w:val="00541C9E"/>
    <w:rsid w:val="005540B0"/>
    <w:rsid w:val="005649F4"/>
    <w:rsid w:val="005710C8"/>
    <w:rsid w:val="005711A3"/>
    <w:rsid w:val="00571A5C"/>
    <w:rsid w:val="00573B2B"/>
    <w:rsid w:val="005776E9"/>
    <w:rsid w:val="00587AD9"/>
    <w:rsid w:val="005909A8"/>
    <w:rsid w:val="005931CB"/>
    <w:rsid w:val="005A2B78"/>
    <w:rsid w:val="005A4F04"/>
    <w:rsid w:val="005B1A55"/>
    <w:rsid w:val="005B5793"/>
    <w:rsid w:val="005C1688"/>
    <w:rsid w:val="005C6B30"/>
    <w:rsid w:val="005C71EC"/>
    <w:rsid w:val="005D7B09"/>
    <w:rsid w:val="005E764C"/>
    <w:rsid w:val="005F16C3"/>
    <w:rsid w:val="006063D4"/>
    <w:rsid w:val="00612D6C"/>
    <w:rsid w:val="00615CDA"/>
    <w:rsid w:val="00623B37"/>
    <w:rsid w:val="006330A2"/>
    <w:rsid w:val="00642EB6"/>
    <w:rsid w:val="006433E2"/>
    <w:rsid w:val="00651E5D"/>
    <w:rsid w:val="00672586"/>
    <w:rsid w:val="00677F11"/>
    <w:rsid w:val="00682B1A"/>
    <w:rsid w:val="00690D7C"/>
    <w:rsid w:val="00690DFE"/>
    <w:rsid w:val="00691678"/>
    <w:rsid w:val="006B3EEC"/>
    <w:rsid w:val="006C0C87"/>
    <w:rsid w:val="006D7EAC"/>
    <w:rsid w:val="006E0104"/>
    <w:rsid w:val="006F7602"/>
    <w:rsid w:val="00702699"/>
    <w:rsid w:val="007100BC"/>
    <w:rsid w:val="00714D6B"/>
    <w:rsid w:val="00722A17"/>
    <w:rsid w:val="00723F4F"/>
    <w:rsid w:val="00740BCE"/>
    <w:rsid w:val="007504D7"/>
    <w:rsid w:val="007504F3"/>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12032"/>
    <w:rsid w:val="00820315"/>
    <w:rsid w:val="00823073"/>
    <w:rsid w:val="0082316D"/>
    <w:rsid w:val="00824D2C"/>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0E6"/>
    <w:rsid w:val="00881E44"/>
    <w:rsid w:val="008858E6"/>
    <w:rsid w:val="00892F6F"/>
    <w:rsid w:val="00896F7E"/>
    <w:rsid w:val="008B1EB7"/>
    <w:rsid w:val="008C2A29"/>
    <w:rsid w:val="008C2DB2"/>
    <w:rsid w:val="008D0668"/>
    <w:rsid w:val="008D26D8"/>
    <w:rsid w:val="008D4365"/>
    <w:rsid w:val="008D6D6D"/>
    <w:rsid w:val="008D770E"/>
    <w:rsid w:val="008F491C"/>
    <w:rsid w:val="008F7BB7"/>
    <w:rsid w:val="0090125B"/>
    <w:rsid w:val="00902181"/>
    <w:rsid w:val="0090337E"/>
    <w:rsid w:val="009049D8"/>
    <w:rsid w:val="00910609"/>
    <w:rsid w:val="009125E2"/>
    <w:rsid w:val="00915841"/>
    <w:rsid w:val="00922098"/>
    <w:rsid w:val="009237C6"/>
    <w:rsid w:val="009328FA"/>
    <w:rsid w:val="00936A78"/>
    <w:rsid w:val="009375E1"/>
    <w:rsid w:val="00952853"/>
    <w:rsid w:val="0096282B"/>
    <w:rsid w:val="009641DA"/>
    <w:rsid w:val="009646E4"/>
    <w:rsid w:val="00977EC3"/>
    <w:rsid w:val="00980313"/>
    <w:rsid w:val="0098631D"/>
    <w:rsid w:val="009877C8"/>
    <w:rsid w:val="009B17A9"/>
    <w:rsid w:val="009B211F"/>
    <w:rsid w:val="009B3F8C"/>
    <w:rsid w:val="009B7C05"/>
    <w:rsid w:val="009C2378"/>
    <w:rsid w:val="009C5A77"/>
    <w:rsid w:val="009C5D99"/>
    <w:rsid w:val="009C6020"/>
    <w:rsid w:val="009C668C"/>
    <w:rsid w:val="009C73BF"/>
    <w:rsid w:val="009D016F"/>
    <w:rsid w:val="009E251D"/>
    <w:rsid w:val="009F0ABD"/>
    <w:rsid w:val="009F10A8"/>
    <w:rsid w:val="009F3DAF"/>
    <w:rsid w:val="009F715C"/>
    <w:rsid w:val="00A01ABA"/>
    <w:rsid w:val="00A02F49"/>
    <w:rsid w:val="00A04650"/>
    <w:rsid w:val="00A13C4A"/>
    <w:rsid w:val="00A171F4"/>
    <w:rsid w:val="00A1772D"/>
    <w:rsid w:val="00A177B2"/>
    <w:rsid w:val="00A22BD8"/>
    <w:rsid w:val="00A24EFC"/>
    <w:rsid w:val="00A27829"/>
    <w:rsid w:val="00A30886"/>
    <w:rsid w:val="00A46F1E"/>
    <w:rsid w:val="00A82395"/>
    <w:rsid w:val="00A9389A"/>
    <w:rsid w:val="00A96B2E"/>
    <w:rsid w:val="00A977CE"/>
    <w:rsid w:val="00AB3522"/>
    <w:rsid w:val="00AB52F9"/>
    <w:rsid w:val="00AC3138"/>
    <w:rsid w:val="00AC53EF"/>
    <w:rsid w:val="00AC6F42"/>
    <w:rsid w:val="00AD131F"/>
    <w:rsid w:val="00AD32D5"/>
    <w:rsid w:val="00AD70E4"/>
    <w:rsid w:val="00AF1751"/>
    <w:rsid w:val="00AF3B3A"/>
    <w:rsid w:val="00AF4E8E"/>
    <w:rsid w:val="00AF6569"/>
    <w:rsid w:val="00B06265"/>
    <w:rsid w:val="00B115B5"/>
    <w:rsid w:val="00B409DF"/>
    <w:rsid w:val="00B5232A"/>
    <w:rsid w:val="00B60ED1"/>
    <w:rsid w:val="00B62CF5"/>
    <w:rsid w:val="00B63C90"/>
    <w:rsid w:val="00B65A46"/>
    <w:rsid w:val="00B70425"/>
    <w:rsid w:val="00B7452F"/>
    <w:rsid w:val="00B85705"/>
    <w:rsid w:val="00B874DC"/>
    <w:rsid w:val="00B90F78"/>
    <w:rsid w:val="00B91123"/>
    <w:rsid w:val="00B937EB"/>
    <w:rsid w:val="00B955DE"/>
    <w:rsid w:val="00BA2CB5"/>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755C1"/>
    <w:rsid w:val="00C84FDC"/>
    <w:rsid w:val="00C85E18"/>
    <w:rsid w:val="00C86589"/>
    <w:rsid w:val="00C96E9F"/>
    <w:rsid w:val="00CA35E3"/>
    <w:rsid w:val="00CA4A09"/>
    <w:rsid w:val="00CA4F06"/>
    <w:rsid w:val="00CB4D45"/>
    <w:rsid w:val="00CC3A9F"/>
    <w:rsid w:val="00CC5A63"/>
    <w:rsid w:val="00CC6C7C"/>
    <w:rsid w:val="00CC787C"/>
    <w:rsid w:val="00CF36C9"/>
    <w:rsid w:val="00D00EC4"/>
    <w:rsid w:val="00D164C8"/>
    <w:rsid w:val="00D166AC"/>
    <w:rsid w:val="00D16C4C"/>
    <w:rsid w:val="00D26E87"/>
    <w:rsid w:val="00D316D8"/>
    <w:rsid w:val="00D36BA2"/>
    <w:rsid w:val="00D37CF4"/>
    <w:rsid w:val="00D4487C"/>
    <w:rsid w:val="00D63D33"/>
    <w:rsid w:val="00D64DD0"/>
    <w:rsid w:val="00D73352"/>
    <w:rsid w:val="00D74EA4"/>
    <w:rsid w:val="00D84E46"/>
    <w:rsid w:val="00D935C3"/>
    <w:rsid w:val="00DA0266"/>
    <w:rsid w:val="00DA0F4B"/>
    <w:rsid w:val="00DA477E"/>
    <w:rsid w:val="00DB4BB0"/>
    <w:rsid w:val="00DD0C2F"/>
    <w:rsid w:val="00DE14AD"/>
    <w:rsid w:val="00DE461D"/>
    <w:rsid w:val="00E04039"/>
    <w:rsid w:val="00E14608"/>
    <w:rsid w:val="00E15EBE"/>
    <w:rsid w:val="00E21E67"/>
    <w:rsid w:val="00E30EBF"/>
    <w:rsid w:val="00E316C0"/>
    <w:rsid w:val="00E31E03"/>
    <w:rsid w:val="00E424CB"/>
    <w:rsid w:val="00E51170"/>
    <w:rsid w:val="00E51E10"/>
    <w:rsid w:val="00E52D70"/>
    <w:rsid w:val="00E52DC8"/>
    <w:rsid w:val="00E55534"/>
    <w:rsid w:val="00E565DC"/>
    <w:rsid w:val="00E57A01"/>
    <w:rsid w:val="00E62385"/>
    <w:rsid w:val="00E7116D"/>
    <w:rsid w:val="00E72429"/>
    <w:rsid w:val="00E83680"/>
    <w:rsid w:val="00E90566"/>
    <w:rsid w:val="00E914D1"/>
    <w:rsid w:val="00E960D8"/>
    <w:rsid w:val="00EA4B58"/>
    <w:rsid w:val="00EB0F6E"/>
    <w:rsid w:val="00EB488E"/>
    <w:rsid w:val="00EB5FCA"/>
    <w:rsid w:val="00ED7F68"/>
    <w:rsid w:val="00EF2575"/>
    <w:rsid w:val="00EF5828"/>
    <w:rsid w:val="00EF7420"/>
    <w:rsid w:val="00F02BCD"/>
    <w:rsid w:val="00F048D4"/>
    <w:rsid w:val="00F207FE"/>
    <w:rsid w:val="00F20920"/>
    <w:rsid w:val="00F23212"/>
    <w:rsid w:val="00F262CA"/>
    <w:rsid w:val="00F33B16"/>
    <w:rsid w:val="00F353EA"/>
    <w:rsid w:val="00F36C27"/>
    <w:rsid w:val="00F56318"/>
    <w:rsid w:val="00F61557"/>
    <w:rsid w:val="00F67C95"/>
    <w:rsid w:val="00F74540"/>
    <w:rsid w:val="00F75B79"/>
    <w:rsid w:val="00F772A0"/>
    <w:rsid w:val="00F77A13"/>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55B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AF175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4D93F-7A30-4550-B9BA-DF22CAA2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636</Words>
  <Characters>4011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4638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4</cp:revision>
  <cp:lastPrinted>2024-02-05T09:48:00Z</cp:lastPrinted>
  <dcterms:created xsi:type="dcterms:W3CDTF">2024-10-14T21:54:00Z</dcterms:created>
  <dcterms:modified xsi:type="dcterms:W3CDTF">2024-10-15T07:15:00Z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2023-10-10T13:59:08Z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1546f44a-bae2-494d-b65e-63cf76e9b52a</vt:lpwstr>
  </property>
  <property fmtid="{D5CDD505-2E9C-101B-9397-08002B2CF9AE}" pid="11" name="MSIP_Label_df1a195f-122b-42dc-a2d3-71a1903dcdac_ContentBits">
    <vt:lpwstr>1</vt:lpwstr>
  </property>
</Properties>
</file>